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26200" w14:textId="77777777" w:rsidR="00B21B70" w:rsidRPr="00E20BCF" w:rsidRDefault="00B21B70" w:rsidP="00B21B70">
      <w:pPr>
        <w:jc w:val="center"/>
        <w:outlineLvl w:val="0"/>
        <w:rPr>
          <w:rFonts w:eastAsia="Times New Roman" w:cs="Arial"/>
          <w:b/>
          <w:color w:val="15387F"/>
          <w:sz w:val="28"/>
          <w:szCs w:val="28"/>
          <w:lang w:val="fr-CA"/>
        </w:rPr>
      </w:pPr>
    </w:p>
    <w:p w14:paraId="2956532C" w14:textId="77777777" w:rsidR="00B21B70" w:rsidRPr="00E20BCF" w:rsidRDefault="00B21B70" w:rsidP="00B21B70">
      <w:pPr>
        <w:jc w:val="center"/>
        <w:outlineLvl w:val="0"/>
        <w:rPr>
          <w:rFonts w:eastAsia="Times New Roman" w:cs="Arial"/>
          <w:b/>
          <w:color w:val="15387F"/>
          <w:sz w:val="28"/>
          <w:szCs w:val="28"/>
          <w:lang w:val="fr-CA"/>
        </w:rPr>
      </w:pPr>
    </w:p>
    <w:p w14:paraId="6FC18929" w14:textId="77777777" w:rsidR="00B21B70" w:rsidRPr="00E20BCF" w:rsidRDefault="00E20BCF" w:rsidP="00B21B70">
      <w:pPr>
        <w:jc w:val="center"/>
        <w:outlineLvl w:val="0"/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</w:pPr>
      <w:r w:rsidRPr="00E20BCF"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  <w:t>Détails sur le Programme d’échange de laborato</w:t>
      </w:r>
      <w:r w:rsidR="00291C9F"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  <w:t>i</w:t>
      </w:r>
      <w:r w:rsidRPr="00E20BCF"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  <w:t xml:space="preserve">res de </w:t>
      </w:r>
      <w:proofErr w:type="spellStart"/>
      <w:r w:rsidR="00B21B70" w:rsidRPr="00E20BCF"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  <w:t>BioCanRx</w:t>
      </w:r>
      <w:proofErr w:type="spellEnd"/>
    </w:p>
    <w:p w14:paraId="6EB7E35A" w14:textId="77777777" w:rsidR="00B21B70" w:rsidRPr="00E20BCF" w:rsidRDefault="00B21B70" w:rsidP="00B21B70">
      <w:pPr>
        <w:rPr>
          <w:rFonts w:asciiTheme="minorHAnsi" w:eastAsia="Times New Roman" w:hAnsiTheme="minorHAnsi" w:cs="Arial"/>
          <w:sz w:val="20"/>
          <w:lang w:val="fr-CA"/>
        </w:rPr>
      </w:pPr>
    </w:p>
    <w:p w14:paraId="1F99DE78" w14:textId="77777777" w:rsidR="00E20BCF" w:rsidRPr="00E20BCF" w:rsidRDefault="00E20BCF" w:rsidP="00E20BCF">
      <w:pPr>
        <w:rPr>
          <w:rFonts w:asciiTheme="minorHAnsi" w:eastAsia="Times New Roman" w:hAnsiTheme="minorHAnsi" w:cs="Arial"/>
          <w:sz w:val="22"/>
          <w:szCs w:val="22"/>
          <w:lang w:val="fr-CA"/>
        </w:rPr>
      </w:pPr>
      <w:proofErr w:type="spellStart"/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>BioCanRx</w:t>
      </w:r>
      <w:proofErr w:type="spellEnd"/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>a pour mission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</w:t>
      </w:r>
      <w:r w:rsidR="005D6F5B">
        <w:rPr>
          <w:rFonts w:asciiTheme="minorHAnsi" w:eastAsia="Times New Roman" w:hAnsiTheme="minorHAnsi" w:cs="Arial"/>
          <w:sz w:val="22"/>
          <w:szCs w:val="22"/>
          <w:lang w:val="fr-CA"/>
        </w:rPr>
        <w:t>l’établissement et la croissance d’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un réseau qui accélère la mise en place des thérapies anticancéreuses biologiques les plus prometteuses du Canada en vue d'essais cliniques. Les scientifiques, le personnel et les stagiaires canadiens ainsi que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>d’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autres membres du personnel hautement qualifié (PHQ) qui participent à la recherche et au développement de biothérapies contre le cancer sont essentiels à la réalisation de notre mission. Nous pensons qu'il est important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que vous mainteniez vos connaissances et vos compétences à jour 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>pour assurer votre réussite personnelle, celle du réseau et celle de l'ensemble du domaine.</w:t>
      </w:r>
    </w:p>
    <w:p w14:paraId="6CF87549" w14:textId="77777777" w:rsidR="00B21B70" w:rsidRPr="00E20BCF" w:rsidRDefault="00B21B70" w:rsidP="009E0D00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</w:p>
    <w:p w14:paraId="12B86D9B" w14:textId="77777777" w:rsidR="00B21B70" w:rsidRPr="00E20BCF" w:rsidRDefault="00E20BCF" w:rsidP="009E0D00">
      <w:pPr>
        <w:jc w:val="both"/>
        <w:outlineLvl w:val="0"/>
        <w:rPr>
          <w:rFonts w:asciiTheme="minorHAnsi" w:eastAsia="Times New Roman" w:hAnsiTheme="minorHAnsi" w:cs="Arial"/>
          <w:b/>
          <w:color w:val="C00000"/>
          <w:sz w:val="22"/>
          <w:szCs w:val="22"/>
          <w:lang w:val="fr-CA"/>
        </w:rPr>
      </w:pPr>
      <w:r w:rsidRPr="00E20BCF">
        <w:rPr>
          <w:rFonts w:asciiTheme="minorHAnsi" w:eastAsia="Times New Roman" w:hAnsiTheme="minorHAnsi" w:cs="Arial"/>
          <w:b/>
          <w:color w:val="C00000"/>
          <w:sz w:val="22"/>
          <w:szCs w:val="22"/>
          <w:lang w:val="fr-CA"/>
        </w:rPr>
        <w:t>Éléments livrables du programme</w:t>
      </w:r>
    </w:p>
    <w:p w14:paraId="48517EFE" w14:textId="77777777" w:rsidR="00B21B70" w:rsidRPr="00E20BCF" w:rsidRDefault="00B21B70" w:rsidP="009E0D00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</w:p>
    <w:p w14:paraId="7981AC23" w14:textId="77777777" w:rsidR="00E20BCF" w:rsidRPr="00E20BCF" w:rsidRDefault="00E20BCF" w:rsidP="00E20BCF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Le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>P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rogramme d'échange de laboratoires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de </w:t>
      </w:r>
      <w:proofErr w:type="spellStart"/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>BioCanRx</w:t>
      </w:r>
      <w:proofErr w:type="spellEnd"/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vise à établir des partenariats axés sur la formation, en particulier le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>perfectionnement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des compétences et le transfert de technologie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>s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, ainsi qu'à renforcer les liens entre les membres du réseau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>et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les partenaires industriels. Les échanges de laboratoires peuvent être de toute durée,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>le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remboursement maximum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>pouvant atteindre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</w:t>
      </w:r>
      <w:r w:rsidR="005D6F5B">
        <w:rPr>
          <w:rFonts w:asciiTheme="minorHAnsi" w:eastAsia="Times New Roman" w:hAnsiTheme="minorHAnsi" w:cs="Arial"/>
          <w:sz w:val="22"/>
          <w:szCs w:val="22"/>
          <w:lang w:val="fr-CA"/>
        </w:rPr>
        <w:t>3 000 $CA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.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>Les échanges de laboratoires devraient être avantageux tant pour les membres du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PHQ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>,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grâce aux possibilités de perfectionnement 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professionnel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liées à l’acquisition de 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compétences spécialisées et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à l’établissement d’un réseau, que pour leur équipe de travail ou groupe 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de laboratoire,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>leurs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projet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s </w:t>
      </w:r>
      <w:r w:rsidR="00445C2F">
        <w:rPr>
          <w:rFonts w:asciiTheme="minorHAnsi" w:eastAsia="Times New Roman" w:hAnsiTheme="minorHAnsi" w:cs="Arial"/>
          <w:sz w:val="22"/>
          <w:szCs w:val="22"/>
          <w:lang w:val="fr-CA"/>
        </w:rPr>
        <w:t>ou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responsabilités de 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travail et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l’ensemble du 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réseau </w:t>
      </w:r>
      <w:proofErr w:type="spellStart"/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>BioCanRx</w:t>
      </w:r>
      <w:proofErr w:type="spellEnd"/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. </w:t>
      </w:r>
    </w:p>
    <w:p w14:paraId="7EB5C10F" w14:textId="77777777" w:rsidR="00E20BCF" w:rsidRPr="00E20BCF" w:rsidRDefault="00E20BCF" w:rsidP="00E20BCF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</w:p>
    <w:p w14:paraId="1DBC5084" w14:textId="0B667B6A" w:rsidR="00E20BCF" w:rsidRPr="00E20BCF" w:rsidRDefault="00E20BCF" w:rsidP="00E20BCF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Afin de répondre aux besoins dynamiques du réseau,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>ce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programme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>est offert en continu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. Nous offrirons deux bourses d'échange de laboratoires par exercice financier. Les dates suivantes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ont été fixées pour l’exercice 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>202</w:t>
      </w:r>
      <w:r w:rsidR="00B56485">
        <w:rPr>
          <w:rFonts w:asciiTheme="minorHAnsi" w:eastAsia="Times New Roman" w:hAnsiTheme="minorHAnsi" w:cs="Arial"/>
          <w:sz w:val="22"/>
          <w:szCs w:val="22"/>
          <w:lang w:val="fr-CA"/>
        </w:rPr>
        <w:t>2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>-202</w:t>
      </w:r>
      <w:r w:rsidR="00B56485">
        <w:rPr>
          <w:rFonts w:asciiTheme="minorHAnsi" w:eastAsia="Times New Roman" w:hAnsiTheme="minorHAnsi" w:cs="Arial"/>
          <w:sz w:val="22"/>
          <w:szCs w:val="22"/>
          <w:lang w:val="fr-CA"/>
        </w:rPr>
        <w:t>3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>.</w:t>
      </w:r>
    </w:p>
    <w:p w14:paraId="5C69995D" w14:textId="77777777" w:rsidR="00B21B70" w:rsidRPr="00E20BCF" w:rsidRDefault="00B21B70" w:rsidP="009E0D00">
      <w:pPr>
        <w:jc w:val="both"/>
        <w:rPr>
          <w:rFonts w:asciiTheme="minorHAnsi" w:eastAsia="Times New Roman" w:hAnsiTheme="minorHAnsi" w:cs="Arial"/>
          <w:sz w:val="21"/>
          <w:szCs w:val="21"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8"/>
      </w:tblGrid>
      <w:tr w:rsidR="000F0C89" w:rsidRPr="00E20BCF" w14:paraId="1CDE2BE8" w14:textId="77777777" w:rsidTr="00E20BCF">
        <w:trPr>
          <w:trHeight w:val="300"/>
          <w:jc w:val="center"/>
        </w:trPr>
        <w:tc>
          <w:tcPr>
            <w:tcW w:w="6308" w:type="dxa"/>
            <w:shd w:val="clear" w:color="auto" w:fill="D9E2F3" w:themeFill="accent1" w:themeFillTint="33"/>
          </w:tcPr>
          <w:p w14:paraId="5A2D7494" w14:textId="67C2B1E8" w:rsidR="000F0C89" w:rsidRPr="00E20BCF" w:rsidRDefault="00E20BCF" w:rsidP="00B56485">
            <w:pPr>
              <w:jc w:val="center"/>
              <w:rPr>
                <w:rFonts w:asciiTheme="minorHAnsi" w:eastAsia="Times New Roman" w:hAnsiTheme="minorHAnsi" w:cs="Arial"/>
                <w:b/>
                <w:sz w:val="20"/>
                <w:lang w:val="fr-CA"/>
              </w:rPr>
            </w:pPr>
            <w:r w:rsidRPr="00E20BCF">
              <w:rPr>
                <w:rFonts w:asciiTheme="minorHAnsi" w:eastAsia="Times New Roman" w:hAnsiTheme="minorHAnsi" w:cs="Arial"/>
                <w:b/>
                <w:sz w:val="20"/>
                <w:lang w:val="fr-CA"/>
              </w:rPr>
              <w:t xml:space="preserve">Dates limites de </w:t>
            </w:r>
            <w:r w:rsidR="00AE1300">
              <w:rPr>
                <w:rFonts w:asciiTheme="minorHAnsi" w:eastAsia="Times New Roman" w:hAnsiTheme="minorHAnsi" w:cs="Arial"/>
                <w:b/>
                <w:sz w:val="20"/>
                <w:lang w:val="fr-CA"/>
              </w:rPr>
              <w:t xml:space="preserve">présentation des </w:t>
            </w:r>
            <w:r w:rsidRPr="00E20BCF">
              <w:rPr>
                <w:rFonts w:asciiTheme="minorHAnsi" w:eastAsia="Times New Roman" w:hAnsiTheme="minorHAnsi" w:cs="Arial"/>
                <w:b/>
                <w:sz w:val="20"/>
                <w:lang w:val="fr-CA"/>
              </w:rPr>
              <w:t>demande</w:t>
            </w:r>
            <w:r w:rsidR="00AE1300">
              <w:rPr>
                <w:rFonts w:asciiTheme="minorHAnsi" w:eastAsia="Times New Roman" w:hAnsiTheme="minorHAnsi" w:cs="Arial"/>
                <w:b/>
                <w:sz w:val="20"/>
                <w:lang w:val="fr-CA"/>
              </w:rPr>
              <w:t>s</w:t>
            </w:r>
          </w:p>
        </w:tc>
      </w:tr>
      <w:tr w:rsidR="000F0C89" w:rsidRPr="00E20BCF" w14:paraId="4F34E023" w14:textId="77777777" w:rsidTr="00E20BCF">
        <w:trPr>
          <w:jc w:val="center"/>
        </w:trPr>
        <w:tc>
          <w:tcPr>
            <w:tcW w:w="6308" w:type="dxa"/>
            <w:shd w:val="clear" w:color="auto" w:fill="auto"/>
          </w:tcPr>
          <w:p w14:paraId="12472A77" w14:textId="7B96BDD2" w:rsidR="000F0C89" w:rsidRPr="00E20BCF" w:rsidRDefault="00E20BCF" w:rsidP="00B56485">
            <w:pPr>
              <w:jc w:val="center"/>
              <w:rPr>
                <w:rFonts w:asciiTheme="minorHAnsi" w:eastAsia="Times New Roman" w:hAnsiTheme="minorHAnsi" w:cs="Arial"/>
                <w:sz w:val="20"/>
                <w:lang w:val="fr-CA"/>
              </w:rPr>
            </w:pPr>
            <w:r w:rsidRPr="00E20BCF">
              <w:rPr>
                <w:rFonts w:asciiTheme="minorHAnsi" w:eastAsia="Times New Roman" w:hAnsiTheme="minorHAnsi" w:cs="Arial"/>
                <w:sz w:val="20"/>
                <w:lang w:val="fr-CA"/>
              </w:rPr>
              <w:t xml:space="preserve">Le vendredi </w:t>
            </w:r>
            <w:r w:rsidR="00B56485">
              <w:rPr>
                <w:rFonts w:asciiTheme="minorHAnsi" w:eastAsia="Times New Roman" w:hAnsiTheme="minorHAnsi" w:cs="Arial"/>
                <w:sz w:val="20"/>
                <w:lang w:val="fr-CA"/>
              </w:rPr>
              <w:t>27 mai 2022</w:t>
            </w:r>
          </w:p>
        </w:tc>
      </w:tr>
      <w:tr w:rsidR="000F0C89" w:rsidRPr="00E20BCF" w14:paraId="78A4A2B7" w14:textId="77777777" w:rsidTr="00E20BCF">
        <w:trPr>
          <w:jc w:val="center"/>
        </w:trPr>
        <w:tc>
          <w:tcPr>
            <w:tcW w:w="6308" w:type="dxa"/>
            <w:shd w:val="clear" w:color="auto" w:fill="auto"/>
          </w:tcPr>
          <w:p w14:paraId="3A876E70" w14:textId="3BC5196F" w:rsidR="000F0C89" w:rsidRPr="00E20BCF" w:rsidRDefault="00E20BCF" w:rsidP="00B56485">
            <w:pPr>
              <w:jc w:val="center"/>
              <w:rPr>
                <w:rFonts w:asciiTheme="minorHAnsi" w:eastAsia="Times New Roman" w:hAnsiTheme="minorHAnsi" w:cs="Arial"/>
                <w:sz w:val="20"/>
                <w:lang w:val="fr-CA"/>
              </w:rPr>
            </w:pPr>
            <w:r w:rsidRPr="00E20BCF">
              <w:rPr>
                <w:rFonts w:asciiTheme="minorHAnsi" w:eastAsia="Times New Roman" w:hAnsiTheme="minorHAnsi" w:cs="Arial"/>
                <w:sz w:val="20"/>
                <w:lang w:val="fr-CA"/>
              </w:rPr>
              <w:t xml:space="preserve">Le vendredi 2 </w:t>
            </w:r>
            <w:r w:rsidR="00B56485">
              <w:rPr>
                <w:rFonts w:asciiTheme="minorHAnsi" w:eastAsia="Times New Roman" w:hAnsiTheme="minorHAnsi" w:cs="Arial"/>
                <w:sz w:val="20"/>
                <w:lang w:val="fr-CA"/>
              </w:rPr>
              <w:t xml:space="preserve">septembre </w:t>
            </w:r>
            <w:r w:rsidR="00EB0E10" w:rsidRPr="00E20BCF">
              <w:rPr>
                <w:rFonts w:asciiTheme="minorHAnsi" w:eastAsia="Times New Roman" w:hAnsiTheme="minorHAnsi" w:cs="Arial"/>
                <w:sz w:val="20"/>
                <w:lang w:val="fr-CA"/>
              </w:rPr>
              <w:t>202</w:t>
            </w:r>
            <w:r w:rsidR="00B56485">
              <w:rPr>
                <w:rFonts w:asciiTheme="minorHAnsi" w:eastAsia="Times New Roman" w:hAnsiTheme="minorHAnsi" w:cs="Arial"/>
                <w:sz w:val="20"/>
                <w:lang w:val="fr-CA"/>
              </w:rPr>
              <w:t>2</w:t>
            </w:r>
          </w:p>
        </w:tc>
      </w:tr>
      <w:tr w:rsidR="000F0C89" w:rsidRPr="00E20BCF" w14:paraId="18CD3B27" w14:textId="77777777" w:rsidTr="00E20BCF">
        <w:trPr>
          <w:jc w:val="center"/>
        </w:trPr>
        <w:tc>
          <w:tcPr>
            <w:tcW w:w="6308" w:type="dxa"/>
            <w:shd w:val="clear" w:color="auto" w:fill="auto"/>
          </w:tcPr>
          <w:p w14:paraId="5F033320" w14:textId="77777777" w:rsidR="000F0C89" w:rsidRPr="00E20BCF" w:rsidRDefault="00E20BCF" w:rsidP="00B56485">
            <w:pPr>
              <w:jc w:val="center"/>
              <w:rPr>
                <w:rFonts w:asciiTheme="minorHAnsi" w:eastAsia="Times New Roman" w:hAnsiTheme="minorHAnsi" w:cs="Arial"/>
                <w:sz w:val="20"/>
                <w:lang w:val="fr-CA"/>
              </w:rPr>
            </w:pPr>
            <w:r w:rsidRPr="00E20BCF">
              <w:rPr>
                <w:rFonts w:asciiTheme="minorHAnsi" w:eastAsia="Times New Roman" w:hAnsiTheme="minorHAnsi" w:cs="Arial"/>
                <w:sz w:val="20"/>
                <w:lang w:val="fr-CA"/>
              </w:rPr>
              <w:t>Les dates limites des années suivantes seront annoncées plus tard.</w:t>
            </w:r>
          </w:p>
        </w:tc>
      </w:tr>
    </w:tbl>
    <w:p w14:paraId="1463098F" w14:textId="77777777" w:rsidR="00B21B70" w:rsidRPr="00E20BCF" w:rsidRDefault="00B21B70" w:rsidP="00B21B70">
      <w:pPr>
        <w:rPr>
          <w:rFonts w:asciiTheme="minorHAnsi" w:eastAsia="Times New Roman" w:hAnsiTheme="minorHAnsi" w:cs="Arial"/>
          <w:sz w:val="20"/>
          <w:lang w:val="fr-CA"/>
        </w:rPr>
      </w:pPr>
    </w:p>
    <w:p w14:paraId="367263E1" w14:textId="77777777" w:rsidR="00B21B70" w:rsidRPr="00E20BCF" w:rsidRDefault="00E20BCF" w:rsidP="00B21B70">
      <w:pPr>
        <w:outlineLvl w:val="0"/>
        <w:rPr>
          <w:rFonts w:asciiTheme="minorHAnsi" w:eastAsia="Times New Roman" w:hAnsiTheme="minorHAnsi" w:cs="Arial"/>
          <w:b/>
          <w:color w:val="C00000"/>
          <w:sz w:val="22"/>
          <w:szCs w:val="22"/>
          <w:lang w:val="fr-CA"/>
        </w:rPr>
      </w:pPr>
      <w:r w:rsidRPr="00E20BCF">
        <w:rPr>
          <w:rFonts w:asciiTheme="minorHAnsi" w:eastAsia="Times New Roman" w:hAnsiTheme="minorHAnsi" w:cs="Arial"/>
          <w:b/>
          <w:color w:val="C00000"/>
          <w:sz w:val="22"/>
          <w:szCs w:val="22"/>
          <w:lang w:val="fr-CA"/>
        </w:rPr>
        <w:t>Admissibilité</w:t>
      </w:r>
      <w:r w:rsidR="00B21B70" w:rsidRPr="00E20BCF">
        <w:rPr>
          <w:rFonts w:asciiTheme="minorHAnsi" w:eastAsia="Times New Roman" w:hAnsiTheme="minorHAnsi" w:cs="Arial"/>
          <w:b/>
          <w:color w:val="C00000"/>
          <w:sz w:val="22"/>
          <w:szCs w:val="22"/>
          <w:lang w:val="fr-CA"/>
        </w:rPr>
        <w:t xml:space="preserve"> </w:t>
      </w:r>
    </w:p>
    <w:p w14:paraId="5D6E79AA" w14:textId="77777777" w:rsidR="00B21B70" w:rsidRPr="00E20BCF" w:rsidRDefault="00B21B70" w:rsidP="00B21B70">
      <w:pPr>
        <w:rPr>
          <w:rFonts w:asciiTheme="minorHAnsi" w:eastAsia="Times New Roman" w:hAnsiTheme="minorHAnsi" w:cs="Arial"/>
          <w:b/>
          <w:sz w:val="22"/>
          <w:szCs w:val="22"/>
          <w:lang w:val="fr-CA"/>
        </w:rPr>
      </w:pPr>
    </w:p>
    <w:p w14:paraId="723E612C" w14:textId="619A448D" w:rsidR="00E20BCF" w:rsidRPr="00E20BCF" w:rsidRDefault="00E20BCF" w:rsidP="00E20BCF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Le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>P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rogramme d'échange de laboratoires est ouvert à tout le personnel hautement qualifié (PHQ) de </w:t>
      </w:r>
      <w:proofErr w:type="spellStart"/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>BioCanRx</w:t>
      </w:r>
      <w:proofErr w:type="spellEnd"/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> 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: étudiants diplômés, boursiers postdoctoraux, associés de recherche, personnel de recherche technique et clinique, autres membres du personnel travaillant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sous la supervision 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>d'un chercheur principal fondateur ou actuellement financé</w:t>
      </w:r>
      <w:r w:rsidR="006D71D5" w:rsidRPr="006D71D5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</w:t>
      </w:r>
      <w:r w:rsidR="006D71D5"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de </w:t>
      </w:r>
      <w:proofErr w:type="spellStart"/>
      <w:r w:rsidR="006D71D5" w:rsidRPr="00E20BCF">
        <w:rPr>
          <w:rFonts w:asciiTheme="minorHAnsi" w:eastAsia="Times New Roman" w:hAnsiTheme="minorHAnsi" w:cs="Arial"/>
          <w:sz w:val="22"/>
          <w:szCs w:val="22"/>
          <w:lang w:val="fr-CA"/>
        </w:rPr>
        <w:t>BioCanRx</w:t>
      </w:r>
      <w:proofErr w:type="spellEnd"/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. Ce programme est également ouvert au personnel des installations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>principales</w:t>
      </w:r>
      <w:r w:rsidR="00B56485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, </w:t>
      </w:r>
      <w:r w:rsidR="00B56485" w:rsidRPr="00B56485">
        <w:rPr>
          <w:rFonts w:asciiTheme="minorHAnsi" w:eastAsia="Times New Roman" w:hAnsiTheme="minorHAnsi" w:cs="Arial"/>
          <w:sz w:val="22"/>
          <w:szCs w:val="22"/>
          <w:lang w:val="fr-CA"/>
        </w:rPr>
        <w:t>de la fabrication au point de service</w:t>
      </w:r>
      <w:r w:rsidR="00B56485">
        <w:rPr>
          <w:rFonts w:asciiTheme="minorHAnsi" w:eastAsia="Times New Roman" w:hAnsiTheme="minorHAnsi" w:cs="Arial"/>
          <w:sz w:val="22"/>
          <w:szCs w:val="22"/>
          <w:lang w:val="fr-CA"/>
        </w:rPr>
        <w:t>,</w:t>
      </w:r>
      <w:r w:rsidR="00B56485" w:rsidRPr="00B56485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et de la </w:t>
      </w:r>
      <w:proofErr w:type="spellStart"/>
      <w:r w:rsidR="00B56485" w:rsidRPr="00B56485">
        <w:rPr>
          <w:rFonts w:asciiTheme="minorHAnsi" w:eastAsia="Times New Roman" w:hAnsiTheme="minorHAnsi" w:cs="Arial"/>
          <w:sz w:val="22"/>
          <w:szCs w:val="22"/>
          <w:lang w:val="fr-CA"/>
        </w:rPr>
        <w:t>biofabrication</w:t>
      </w:r>
      <w:proofErr w:type="spellEnd"/>
      <w:r w:rsidR="00B56485">
        <w:rPr>
          <w:rFonts w:asciiTheme="minorHAnsi" w:eastAsia="Times New Roman" w:hAnsiTheme="minorHAnsi" w:cs="Arial"/>
          <w:sz w:val="22"/>
          <w:szCs w:val="22"/>
          <w:lang w:val="fr-CA"/>
        </w:rPr>
        <w:t>.</w:t>
      </w:r>
    </w:p>
    <w:p w14:paraId="5E22BCD5" w14:textId="77777777" w:rsidR="00E20BCF" w:rsidRPr="00E20BCF" w:rsidRDefault="00E20BCF" w:rsidP="00E20BCF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</w:p>
    <w:p w14:paraId="75B32E4A" w14:textId="77777777" w:rsidR="00E20BCF" w:rsidRPr="00E20BCF" w:rsidRDefault="00E20BCF" w:rsidP="00E20BCF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>Le groupe de recherche partenaire ou le partenaire industriel doit fournir une formation spécialisée ou un transfert de technologie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>s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qui n'est pas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>généralement offert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>.</w:t>
      </w:r>
    </w:p>
    <w:p w14:paraId="7603B0D6" w14:textId="77777777" w:rsidR="00E20BCF" w:rsidRPr="00E20BCF" w:rsidRDefault="00E20BCF" w:rsidP="00E20BCF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</w:p>
    <w:p w14:paraId="06A3E793" w14:textId="77777777" w:rsidR="00E20BCF" w:rsidRPr="00E20BCF" w:rsidRDefault="00E20BCF" w:rsidP="00E20BCF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>La priorité sera accordée aux échanges entre les groupes de recherche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et groupes 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cliniques de </w:t>
      </w:r>
      <w:proofErr w:type="spellStart"/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>BioCanRx</w:t>
      </w:r>
      <w:proofErr w:type="spellEnd"/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ou entre un groupe de recherche de </w:t>
      </w:r>
      <w:proofErr w:type="spellStart"/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>BioCanRx</w:t>
      </w:r>
      <w:proofErr w:type="spellEnd"/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et un partenaire industriel.</w:t>
      </w:r>
    </w:p>
    <w:p w14:paraId="58F7A02F" w14:textId="77777777" w:rsidR="00E20BCF" w:rsidRPr="00E20BCF" w:rsidRDefault="00E20BCF" w:rsidP="00E20BCF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</w:p>
    <w:p w14:paraId="2EC9043E" w14:textId="77777777" w:rsidR="00B21B70" w:rsidRPr="00E20BCF" w:rsidRDefault="00B21B70" w:rsidP="009E0D00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</w:p>
    <w:p w14:paraId="70B477D7" w14:textId="77777777" w:rsidR="00B21B70" w:rsidRPr="00E20BCF" w:rsidRDefault="00B21B70" w:rsidP="009E0D00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</w:p>
    <w:p w14:paraId="56667195" w14:textId="60A5A66F" w:rsidR="00B21B70" w:rsidRPr="00E20BCF" w:rsidRDefault="00583C56" w:rsidP="00E20BCF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  <w:r>
        <w:rPr>
          <w:rFonts w:asciiTheme="minorHAnsi" w:eastAsia="Times New Roman" w:hAnsiTheme="minorHAnsi" w:cs="Arial"/>
          <w:sz w:val="22"/>
          <w:szCs w:val="22"/>
          <w:lang w:val="fr-CA"/>
        </w:rPr>
        <w:t>Pour déterminer avec certitude votre admissibilité au programme</w:t>
      </w:r>
      <w:r w:rsidR="00E20BCF" w:rsidRPr="00E20BCF">
        <w:rPr>
          <w:rFonts w:asciiTheme="minorHAnsi" w:eastAsia="Times New Roman" w:hAnsiTheme="minorHAnsi" w:cs="Arial"/>
          <w:sz w:val="22"/>
          <w:szCs w:val="22"/>
          <w:lang w:val="fr-CA"/>
        </w:rPr>
        <w:t>, veuillez co</w:t>
      </w:r>
      <w:r>
        <w:rPr>
          <w:rFonts w:asciiTheme="minorHAnsi" w:eastAsia="Times New Roman" w:hAnsiTheme="minorHAnsi" w:cs="Arial"/>
          <w:sz w:val="22"/>
          <w:szCs w:val="22"/>
          <w:lang w:val="fr-CA"/>
        </w:rPr>
        <w:t xml:space="preserve">mmuniquer avec </w:t>
      </w:r>
      <w:r w:rsidR="00316EF6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Sarah </w:t>
      </w:r>
      <w:proofErr w:type="spellStart"/>
      <w:r w:rsidR="00316EF6">
        <w:rPr>
          <w:rFonts w:asciiTheme="minorHAnsi" w:eastAsia="Times New Roman" w:hAnsiTheme="minorHAnsi" w:cs="Arial"/>
          <w:sz w:val="22"/>
          <w:szCs w:val="22"/>
          <w:lang w:val="fr-CA"/>
        </w:rPr>
        <w:t>Ivanco</w:t>
      </w:r>
      <w:proofErr w:type="spellEnd"/>
      <w:r w:rsidR="00316EF6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, </w:t>
      </w:r>
      <w:r w:rsidR="00316EF6" w:rsidRPr="00316EF6">
        <w:rPr>
          <w:rFonts w:asciiTheme="minorHAnsi" w:eastAsia="Times New Roman" w:hAnsiTheme="minorHAnsi" w:cs="Arial"/>
          <w:sz w:val="22"/>
          <w:szCs w:val="22"/>
          <w:lang w:val="fr-CA"/>
        </w:rPr>
        <w:t>Gestionnaire, Formation et l’équité, la diversité et l’inclusion</w:t>
      </w:r>
      <w:r>
        <w:rPr>
          <w:rFonts w:asciiTheme="minorHAnsi" w:eastAsia="Times New Roman" w:hAnsiTheme="minorHAnsi" w:cs="Arial"/>
          <w:sz w:val="22"/>
          <w:szCs w:val="22"/>
          <w:lang w:val="fr-CA"/>
        </w:rPr>
        <w:t>,</w:t>
      </w:r>
      <w:r w:rsidR="00E20BCF"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à  </w:t>
      </w:r>
      <w:hyperlink r:id="rId8" w:history="1">
        <w:r w:rsidR="00316EF6" w:rsidRPr="00BC1EFD">
          <w:rPr>
            <w:rStyle w:val="Hyperlink"/>
            <w:rFonts w:asciiTheme="minorHAnsi" w:eastAsia="Times New Roman" w:hAnsiTheme="minorHAnsi" w:cs="Arial"/>
            <w:sz w:val="22"/>
            <w:szCs w:val="22"/>
            <w:lang w:val="fr-CA"/>
          </w:rPr>
          <w:t>sivanco@biocanrx.com</w:t>
        </w:r>
      </w:hyperlink>
      <w:r w:rsidR="00B21B70" w:rsidRPr="00E20BCF">
        <w:rPr>
          <w:rFonts w:asciiTheme="minorHAnsi" w:eastAsia="Times New Roman" w:hAnsiTheme="minorHAnsi" w:cs="Arial"/>
          <w:sz w:val="22"/>
          <w:szCs w:val="22"/>
          <w:lang w:val="fr-CA"/>
        </w:rPr>
        <w:t>.</w:t>
      </w:r>
    </w:p>
    <w:p w14:paraId="33205259" w14:textId="77777777" w:rsidR="00BE1E67" w:rsidRPr="00E20BCF" w:rsidRDefault="00BE1E67" w:rsidP="00B21B70">
      <w:pPr>
        <w:outlineLvl w:val="0"/>
        <w:rPr>
          <w:rFonts w:asciiTheme="minorHAnsi" w:eastAsia="Times New Roman" w:hAnsiTheme="minorHAnsi" w:cs="Arial"/>
          <w:b/>
          <w:color w:val="C00000"/>
          <w:sz w:val="22"/>
          <w:szCs w:val="22"/>
          <w:lang w:val="fr-CA"/>
        </w:rPr>
      </w:pPr>
    </w:p>
    <w:p w14:paraId="7A03E56A" w14:textId="77777777" w:rsidR="00B21B70" w:rsidRPr="00E20BCF" w:rsidRDefault="00583C56" w:rsidP="00DC6326">
      <w:pPr>
        <w:jc w:val="both"/>
        <w:outlineLvl w:val="0"/>
        <w:rPr>
          <w:rFonts w:asciiTheme="minorHAnsi" w:eastAsia="Times New Roman" w:hAnsiTheme="minorHAnsi" w:cs="Arial"/>
          <w:b/>
          <w:color w:val="C00000"/>
          <w:sz w:val="22"/>
          <w:szCs w:val="22"/>
          <w:lang w:val="fr-CA"/>
        </w:rPr>
      </w:pPr>
      <w:r>
        <w:rPr>
          <w:rFonts w:asciiTheme="minorHAnsi" w:eastAsia="Times New Roman" w:hAnsiTheme="minorHAnsi" w:cs="Arial"/>
          <w:b/>
          <w:color w:val="C00000"/>
          <w:sz w:val="22"/>
          <w:szCs w:val="22"/>
          <w:lang w:val="fr-CA"/>
        </w:rPr>
        <w:t>Co</w:t>
      </w:r>
      <w:r w:rsidR="00E20BCF" w:rsidRPr="00E20BCF">
        <w:rPr>
          <w:rFonts w:asciiTheme="minorHAnsi" w:eastAsia="Times New Roman" w:hAnsiTheme="minorHAnsi" w:cs="Arial"/>
          <w:b/>
          <w:color w:val="C00000"/>
          <w:sz w:val="22"/>
          <w:szCs w:val="22"/>
          <w:lang w:val="fr-CA"/>
        </w:rPr>
        <w:t>nditions applicables à la bourse</w:t>
      </w:r>
    </w:p>
    <w:p w14:paraId="0284FF7C" w14:textId="77777777" w:rsidR="00B21B70" w:rsidRPr="00E20BCF" w:rsidRDefault="00B21B70" w:rsidP="00DC6326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</w:p>
    <w:p w14:paraId="4349E1C8" w14:textId="77777777" w:rsidR="00E20BCF" w:rsidRPr="00E20BCF" w:rsidRDefault="00E20BCF" w:rsidP="00E20BCF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Chaque année, </w:t>
      </w:r>
      <w:proofErr w:type="spellStart"/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>BioCanRx</w:t>
      </w:r>
      <w:proofErr w:type="spellEnd"/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finance 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deux échanges de laboratoires. Les candidats retenus </w:t>
      </w:r>
      <w:r w:rsidR="005D6F5B">
        <w:rPr>
          <w:rFonts w:asciiTheme="minorHAnsi" w:eastAsia="Times New Roman" w:hAnsiTheme="minorHAnsi" w:cs="Arial"/>
          <w:sz w:val="22"/>
          <w:szCs w:val="22"/>
          <w:lang w:val="fr-CA"/>
        </w:rPr>
        <w:t>obtiennent le remboursement de leurs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frais de 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voyage,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>d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'hébergement et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>de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repas pendant la durée de l'échange. Le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s fonds maximaux offerts pour couvrir les frais des 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échanges de laboratoires 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>sont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de </w:t>
      </w:r>
      <w:r w:rsidR="005D6F5B">
        <w:rPr>
          <w:rFonts w:asciiTheme="minorHAnsi" w:eastAsia="Times New Roman" w:hAnsiTheme="minorHAnsi" w:cs="Arial"/>
          <w:sz w:val="22"/>
          <w:szCs w:val="22"/>
          <w:lang w:val="fr-CA"/>
        </w:rPr>
        <w:t>3 000 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>$ par échange.</w:t>
      </w:r>
    </w:p>
    <w:p w14:paraId="0467962C" w14:textId="77777777" w:rsidR="00E20BCF" w:rsidRPr="00E20BCF" w:rsidRDefault="00E20BCF" w:rsidP="00E20BCF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</w:p>
    <w:p w14:paraId="14F8B84E" w14:textId="77777777" w:rsidR="00E20BCF" w:rsidRPr="00E20BCF" w:rsidRDefault="00E20BCF" w:rsidP="00E20BCF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>Les échanges de laboratoires doivent être réalisés au cours de l'</w:t>
      </w:r>
      <w:r w:rsidR="00583C56">
        <w:rPr>
          <w:rFonts w:asciiTheme="minorHAnsi" w:eastAsia="Times New Roman" w:hAnsiTheme="minorHAnsi" w:cs="Arial"/>
          <w:sz w:val="22"/>
          <w:szCs w:val="22"/>
          <w:lang w:val="fr-CA"/>
        </w:rPr>
        <w:t>exercice pendant lequel les fonds sont offerts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(avril </w:t>
      </w:r>
      <w:r w:rsidR="006E7016">
        <w:rPr>
          <w:rFonts w:asciiTheme="minorHAnsi" w:eastAsia="Times New Roman" w:hAnsiTheme="minorHAnsi" w:cs="Arial"/>
          <w:sz w:val="22"/>
          <w:szCs w:val="22"/>
          <w:lang w:val="fr-CA"/>
        </w:rPr>
        <w:t>à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mars).</w:t>
      </w:r>
    </w:p>
    <w:p w14:paraId="24C34328" w14:textId="77777777" w:rsidR="00E20BCF" w:rsidRPr="00E20BCF" w:rsidRDefault="00E20BCF" w:rsidP="00E20BCF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</w:p>
    <w:p w14:paraId="71F41F8F" w14:textId="77777777" w:rsidR="00E20BCF" w:rsidRPr="00E20BCF" w:rsidRDefault="00E20BCF" w:rsidP="00E20BCF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>Le remboursement sera versé directement au candidat.</w:t>
      </w:r>
    </w:p>
    <w:p w14:paraId="3D6B9C79" w14:textId="77777777" w:rsidR="00E20BCF" w:rsidRPr="00E20BCF" w:rsidRDefault="00E20BCF" w:rsidP="00E20BCF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</w:p>
    <w:p w14:paraId="645E9A9B" w14:textId="77777777" w:rsidR="00E20BCF" w:rsidRPr="00E20BCF" w:rsidRDefault="00E20BCF" w:rsidP="00E20BCF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Les boursiers doivent remplir un </w:t>
      </w:r>
      <w:r w:rsidR="006D71D5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formulaire de 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rapport </w:t>
      </w:r>
      <w:r w:rsidR="006D71D5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et 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de rétroaction </w:t>
      </w:r>
      <w:r w:rsidR="006D71D5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après l’échange 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afin </w:t>
      </w:r>
      <w:r w:rsidR="006E7016">
        <w:rPr>
          <w:rFonts w:asciiTheme="minorHAnsi" w:eastAsia="Times New Roman" w:hAnsiTheme="minorHAnsi" w:cs="Arial"/>
          <w:sz w:val="22"/>
          <w:szCs w:val="22"/>
          <w:lang w:val="fr-CA"/>
        </w:rPr>
        <w:t>d</w:t>
      </w:r>
      <w:r w:rsidR="006D71D5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’obtenir </w:t>
      </w:r>
      <w:r w:rsidR="006E7016">
        <w:rPr>
          <w:rFonts w:asciiTheme="minorHAnsi" w:eastAsia="Times New Roman" w:hAnsiTheme="minorHAnsi" w:cs="Arial"/>
          <w:sz w:val="22"/>
          <w:szCs w:val="22"/>
          <w:lang w:val="fr-CA"/>
        </w:rPr>
        <w:t>le remboursement de</w:t>
      </w:r>
      <w:r w:rsidR="001F7A74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leur</w:t>
      </w:r>
      <w:r w:rsidR="006E7016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s frais </w:t>
      </w: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par </w:t>
      </w:r>
      <w:proofErr w:type="spellStart"/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>BioCanRx</w:t>
      </w:r>
      <w:proofErr w:type="spellEnd"/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. Afin d'évaluer l'impact à long terme de l'échange, les candidats retenus doivent également participer à un entretien téléphonique plusieurs mois plus tard avec le personnel de </w:t>
      </w:r>
      <w:proofErr w:type="spellStart"/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>BioCanRx</w:t>
      </w:r>
      <w:proofErr w:type="spellEnd"/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>.</w:t>
      </w:r>
    </w:p>
    <w:p w14:paraId="1C5E258C" w14:textId="77777777" w:rsidR="00E20BCF" w:rsidRPr="00E20BCF" w:rsidRDefault="00E20BCF" w:rsidP="00E20BCF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</w:p>
    <w:p w14:paraId="62D31B4A" w14:textId="77777777" w:rsidR="00B21B70" w:rsidRPr="00E20BCF" w:rsidRDefault="00E20BCF" w:rsidP="00DC6326">
      <w:pPr>
        <w:jc w:val="both"/>
        <w:outlineLvl w:val="0"/>
        <w:rPr>
          <w:rFonts w:asciiTheme="minorHAnsi" w:eastAsia="Times New Roman" w:hAnsiTheme="minorHAnsi" w:cs="Arial"/>
          <w:b/>
          <w:color w:val="C00000"/>
          <w:sz w:val="22"/>
          <w:szCs w:val="22"/>
          <w:lang w:val="fr-CA"/>
        </w:rPr>
      </w:pPr>
      <w:r w:rsidRPr="00E20BCF">
        <w:rPr>
          <w:rFonts w:asciiTheme="minorHAnsi" w:eastAsia="Times New Roman" w:hAnsiTheme="minorHAnsi" w:cs="Arial"/>
          <w:b/>
          <w:color w:val="C00000"/>
          <w:sz w:val="22"/>
          <w:szCs w:val="22"/>
          <w:lang w:val="fr-CA"/>
        </w:rPr>
        <w:t>Processus de demande</w:t>
      </w:r>
    </w:p>
    <w:p w14:paraId="57CABEE6" w14:textId="77777777" w:rsidR="00B21B70" w:rsidRPr="00E20BCF" w:rsidRDefault="00B21B70" w:rsidP="00DC6326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</w:p>
    <w:p w14:paraId="180A4F4E" w14:textId="6947D288" w:rsidR="00E20BCF" w:rsidRPr="00E20BCF" w:rsidRDefault="006E7016" w:rsidP="00E20BCF">
      <w:pPr>
        <w:rPr>
          <w:rFonts w:asciiTheme="minorHAnsi" w:eastAsia="Times New Roman" w:hAnsiTheme="minorHAnsi" w:cs="Arial"/>
          <w:sz w:val="22"/>
          <w:szCs w:val="22"/>
          <w:lang w:val="fr-CA"/>
        </w:rPr>
      </w:pPr>
      <w:r>
        <w:rPr>
          <w:rFonts w:asciiTheme="minorHAnsi" w:eastAsia="Times New Roman" w:hAnsiTheme="minorHAnsi" w:cs="Arial"/>
          <w:sz w:val="22"/>
          <w:szCs w:val="22"/>
          <w:lang w:val="fr-CA"/>
        </w:rPr>
        <w:t xml:space="preserve">Veuillez remplir </w:t>
      </w:r>
      <w:r w:rsidR="00E20BCF"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le formulaire de </w:t>
      </w:r>
      <w:r>
        <w:rPr>
          <w:rFonts w:asciiTheme="minorHAnsi" w:eastAsia="Times New Roman" w:hAnsiTheme="minorHAnsi" w:cs="Arial"/>
          <w:sz w:val="22"/>
          <w:szCs w:val="22"/>
          <w:lang w:val="fr-CA"/>
        </w:rPr>
        <w:t>demande</w:t>
      </w:r>
      <w:r w:rsidR="00E20BCF"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ci-dessous </w:t>
      </w:r>
      <w:r>
        <w:rPr>
          <w:rFonts w:asciiTheme="minorHAnsi" w:eastAsia="Times New Roman" w:hAnsiTheme="minorHAnsi" w:cs="Arial"/>
          <w:sz w:val="22"/>
          <w:szCs w:val="22"/>
          <w:lang w:val="fr-CA"/>
        </w:rPr>
        <w:t xml:space="preserve">et fournir </w:t>
      </w:r>
      <w:r w:rsidR="00E20BCF" w:rsidRPr="00E20BCF">
        <w:rPr>
          <w:rFonts w:asciiTheme="minorHAnsi" w:eastAsia="Times New Roman" w:hAnsiTheme="minorHAnsi" w:cs="Arial"/>
          <w:sz w:val="22"/>
          <w:szCs w:val="22"/>
          <w:lang w:val="fr-CA"/>
        </w:rPr>
        <w:t>les documents requis</w:t>
      </w:r>
      <w:r>
        <w:rPr>
          <w:rFonts w:asciiTheme="minorHAnsi" w:eastAsia="Times New Roman" w:hAnsiTheme="minorHAnsi" w:cs="Arial"/>
          <w:sz w:val="22"/>
          <w:szCs w:val="22"/>
          <w:lang w:val="fr-CA"/>
        </w:rPr>
        <w:t xml:space="preserve">. Veuillez ensuite transmettre </w:t>
      </w:r>
      <w:r w:rsidR="00E20BCF"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votre dossier de </w:t>
      </w:r>
      <w:r>
        <w:rPr>
          <w:rFonts w:asciiTheme="minorHAnsi" w:eastAsia="Times New Roman" w:hAnsiTheme="minorHAnsi" w:cs="Arial"/>
          <w:sz w:val="22"/>
          <w:szCs w:val="22"/>
          <w:lang w:val="fr-CA"/>
        </w:rPr>
        <w:t xml:space="preserve">demande </w:t>
      </w:r>
      <w:r w:rsidR="00E20BCF"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à </w:t>
      </w:r>
      <w:r w:rsidR="00316EF6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Sarah </w:t>
      </w:r>
      <w:proofErr w:type="spellStart"/>
      <w:r w:rsidR="00316EF6">
        <w:rPr>
          <w:rFonts w:asciiTheme="minorHAnsi" w:eastAsia="Times New Roman" w:hAnsiTheme="minorHAnsi" w:cs="Arial"/>
          <w:sz w:val="22"/>
          <w:szCs w:val="22"/>
          <w:lang w:val="fr-CA"/>
        </w:rPr>
        <w:t>Ivanco</w:t>
      </w:r>
      <w:proofErr w:type="spellEnd"/>
      <w:r w:rsidR="00E20BCF"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à </w:t>
      </w:r>
      <w:hyperlink r:id="rId9" w:history="1">
        <w:r w:rsidR="00316EF6" w:rsidRPr="00BC1EFD">
          <w:rPr>
            <w:rStyle w:val="Hyperlink"/>
            <w:rFonts w:asciiTheme="minorHAnsi" w:eastAsia="Times New Roman" w:hAnsiTheme="minorHAnsi" w:cs="Arial"/>
            <w:sz w:val="22"/>
            <w:szCs w:val="22"/>
            <w:lang w:val="fr-CA"/>
          </w:rPr>
          <w:t>sivanco@biocanrx.com</w:t>
        </w:r>
      </w:hyperlink>
      <w:r w:rsidR="00316EF6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</w:t>
      </w:r>
      <w:r>
        <w:rPr>
          <w:rFonts w:asciiTheme="minorHAnsi" w:eastAsia="Times New Roman" w:hAnsiTheme="minorHAnsi" w:cs="Arial"/>
          <w:sz w:val="22"/>
          <w:szCs w:val="22"/>
          <w:lang w:val="fr-CA"/>
        </w:rPr>
        <w:t>avant l’une des dates limites indiquées ci-dessus</w:t>
      </w:r>
      <w:r w:rsidR="00E20BCF" w:rsidRPr="00E20BCF">
        <w:rPr>
          <w:rFonts w:asciiTheme="minorHAnsi" w:eastAsia="Times New Roman" w:hAnsiTheme="minorHAnsi" w:cs="Arial"/>
          <w:sz w:val="22"/>
          <w:szCs w:val="22"/>
          <w:lang w:val="fr-CA"/>
        </w:rPr>
        <w:t>. Veuillez vous assurer que les dates limites de d</w:t>
      </w:r>
      <w:r>
        <w:rPr>
          <w:rFonts w:asciiTheme="minorHAnsi" w:eastAsia="Times New Roman" w:hAnsiTheme="minorHAnsi" w:cs="Arial"/>
          <w:sz w:val="22"/>
          <w:szCs w:val="22"/>
          <w:lang w:val="fr-CA"/>
        </w:rPr>
        <w:t xml:space="preserve">emande </w:t>
      </w:r>
      <w:r w:rsidR="00E20BCF" w:rsidRPr="00E20BCF">
        <w:rPr>
          <w:rFonts w:asciiTheme="minorHAnsi" w:eastAsia="Times New Roman" w:hAnsiTheme="minorHAnsi" w:cs="Arial"/>
          <w:sz w:val="22"/>
          <w:szCs w:val="22"/>
          <w:lang w:val="fr-CA"/>
        </w:rPr>
        <w:t>et de notification des bourses correspondent aux dates prévues pour l</w:t>
      </w:r>
      <w:r>
        <w:rPr>
          <w:rFonts w:asciiTheme="minorHAnsi" w:eastAsia="Times New Roman" w:hAnsiTheme="minorHAnsi" w:cs="Arial"/>
          <w:sz w:val="22"/>
          <w:szCs w:val="22"/>
          <w:lang w:val="fr-CA"/>
        </w:rPr>
        <w:t>’</w:t>
      </w:r>
      <w:r w:rsidR="00E20BCF" w:rsidRPr="00E20BCF">
        <w:rPr>
          <w:rFonts w:asciiTheme="minorHAnsi" w:eastAsia="Times New Roman" w:hAnsiTheme="minorHAnsi" w:cs="Arial"/>
          <w:sz w:val="22"/>
          <w:szCs w:val="22"/>
          <w:lang w:val="fr-CA"/>
        </w:rPr>
        <w:t>échange de laboratoires.</w:t>
      </w:r>
    </w:p>
    <w:p w14:paraId="5E911D54" w14:textId="77777777" w:rsidR="00B21B70" w:rsidRPr="00E20BCF" w:rsidRDefault="00B21B70" w:rsidP="00E20BCF">
      <w:pPr>
        <w:jc w:val="both"/>
        <w:rPr>
          <w:rFonts w:asciiTheme="minorHAnsi" w:eastAsia="Times New Roman" w:hAnsiTheme="minorHAnsi" w:cs="Arial"/>
          <w:sz w:val="22"/>
          <w:szCs w:val="22"/>
          <w:lang w:val="fr-CA"/>
        </w:rPr>
      </w:pPr>
    </w:p>
    <w:p w14:paraId="001F0FFD" w14:textId="77777777" w:rsidR="00B21B70" w:rsidRPr="00E20BCF" w:rsidRDefault="00B21B70" w:rsidP="00B21B70">
      <w:pPr>
        <w:rPr>
          <w:rFonts w:asciiTheme="minorHAnsi" w:eastAsia="Times New Roman" w:hAnsiTheme="minorHAnsi" w:cs="Arial"/>
          <w:b/>
          <w:bCs/>
          <w:color w:val="C00000"/>
          <w:sz w:val="22"/>
          <w:szCs w:val="22"/>
          <w:lang w:val="fr-CA"/>
        </w:rPr>
      </w:pPr>
      <w:r w:rsidRPr="00E20BCF">
        <w:rPr>
          <w:rFonts w:asciiTheme="minorHAnsi" w:eastAsia="Times New Roman" w:hAnsiTheme="minorHAnsi" w:cs="Arial"/>
          <w:b/>
          <w:bCs/>
          <w:color w:val="C00000"/>
          <w:sz w:val="22"/>
          <w:szCs w:val="22"/>
          <w:lang w:val="fr-CA"/>
        </w:rPr>
        <w:t>List</w:t>
      </w:r>
      <w:r w:rsidR="00E20BCF" w:rsidRPr="00E20BCF">
        <w:rPr>
          <w:rFonts w:asciiTheme="minorHAnsi" w:eastAsia="Times New Roman" w:hAnsiTheme="minorHAnsi" w:cs="Arial"/>
          <w:b/>
          <w:bCs/>
          <w:color w:val="C00000"/>
          <w:sz w:val="22"/>
          <w:szCs w:val="22"/>
          <w:lang w:val="fr-CA"/>
        </w:rPr>
        <w:t>e des documents requis </w:t>
      </w:r>
      <w:r w:rsidRPr="00E20BCF">
        <w:rPr>
          <w:rFonts w:asciiTheme="minorHAnsi" w:eastAsia="Times New Roman" w:hAnsiTheme="minorHAnsi" w:cs="Arial"/>
          <w:b/>
          <w:bCs/>
          <w:color w:val="C00000"/>
          <w:sz w:val="22"/>
          <w:szCs w:val="22"/>
          <w:lang w:val="fr-CA"/>
        </w:rPr>
        <w:t>:</w:t>
      </w:r>
    </w:p>
    <w:p w14:paraId="42B502AD" w14:textId="6128A0E6" w:rsidR="00E20BCF" w:rsidRPr="00E20BCF" w:rsidRDefault="00B21B70" w:rsidP="006E7016">
      <w:pPr>
        <w:ind w:left="426"/>
        <w:rPr>
          <w:rFonts w:asciiTheme="minorHAnsi" w:eastAsia="Times New Roman" w:hAnsiTheme="minorHAnsi" w:cs="Arial"/>
          <w:sz w:val="22"/>
          <w:szCs w:val="22"/>
          <w:lang w:val="fr-CA"/>
        </w:rPr>
      </w:pPr>
      <w:r w:rsidRPr="00E20BCF">
        <w:rPr>
          <w:rFonts w:ascii="Segoe UI Symbol" w:eastAsia="MS Gothic" w:hAnsi="Segoe UI Symbol" w:cs="Segoe UI Symbol"/>
          <w:sz w:val="22"/>
          <w:szCs w:val="22"/>
          <w:lang w:val="fr-CA"/>
        </w:rPr>
        <w:t>☐</w:t>
      </w:r>
      <w:r w:rsidR="00E20BCF"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Demande d'échange de laboratoires de PHQ dûment remplie + </w:t>
      </w:r>
      <w:r w:rsidR="006E7016">
        <w:rPr>
          <w:rFonts w:asciiTheme="minorHAnsi" w:eastAsia="Times New Roman" w:hAnsiTheme="minorHAnsi" w:cs="Arial"/>
          <w:sz w:val="22"/>
          <w:szCs w:val="22"/>
          <w:lang w:val="fr-CA"/>
        </w:rPr>
        <w:t>Réponses aux q</w:t>
      </w:r>
      <w:r w:rsidR="00E20BCF" w:rsidRPr="00E20BCF">
        <w:rPr>
          <w:rFonts w:asciiTheme="minorHAnsi" w:eastAsia="Times New Roman" w:hAnsiTheme="minorHAnsi" w:cs="Arial"/>
          <w:sz w:val="22"/>
          <w:szCs w:val="22"/>
          <w:lang w:val="fr-CA"/>
        </w:rPr>
        <w:t>uestions A, B et C</w:t>
      </w:r>
    </w:p>
    <w:p w14:paraId="35346F4E" w14:textId="77777777" w:rsidR="00E20BCF" w:rsidRPr="00E20BCF" w:rsidRDefault="00E20BCF" w:rsidP="006E7016">
      <w:pPr>
        <w:ind w:left="426"/>
        <w:rPr>
          <w:rFonts w:asciiTheme="minorHAnsi" w:eastAsia="Times New Roman" w:hAnsiTheme="minorHAnsi" w:cs="Arial"/>
          <w:sz w:val="22"/>
          <w:szCs w:val="22"/>
          <w:lang w:val="fr-CA"/>
        </w:rPr>
      </w:pPr>
      <w:r w:rsidRPr="00E20BCF">
        <w:rPr>
          <w:rFonts w:ascii="MS Gothic" w:eastAsia="MS Gothic" w:hAnsi="MS Gothic" w:cs="MS Gothic"/>
          <w:sz w:val="22"/>
          <w:szCs w:val="22"/>
          <w:lang w:val="fr-CA"/>
        </w:rPr>
        <w:t>☐</w:t>
      </w:r>
      <w:r w:rsidR="006E7016">
        <w:rPr>
          <w:rFonts w:ascii="Calibri" w:eastAsia="Times New Roman" w:hAnsi="Calibri" w:cs="Calibri"/>
          <w:sz w:val="22"/>
          <w:szCs w:val="22"/>
          <w:lang w:val="fr-CA"/>
        </w:rPr>
        <w:t xml:space="preserve"> Curriculum v</w:t>
      </w:r>
      <w:r w:rsidRPr="00E20BCF">
        <w:rPr>
          <w:rFonts w:ascii="Calibri" w:eastAsia="Times New Roman" w:hAnsi="Calibri" w:cs="Calibri"/>
          <w:sz w:val="22"/>
          <w:szCs w:val="22"/>
          <w:lang w:val="fr-CA"/>
        </w:rPr>
        <w:t>itae (D)</w:t>
      </w:r>
    </w:p>
    <w:p w14:paraId="379EDE00" w14:textId="77777777" w:rsidR="00E20BCF" w:rsidRPr="00E20BCF" w:rsidRDefault="00E20BCF" w:rsidP="006E7016">
      <w:pPr>
        <w:ind w:left="426"/>
        <w:rPr>
          <w:rFonts w:asciiTheme="minorHAnsi" w:eastAsia="Times New Roman" w:hAnsiTheme="minorHAnsi" w:cs="Arial"/>
          <w:sz w:val="22"/>
          <w:szCs w:val="22"/>
          <w:lang w:val="fr-CA"/>
        </w:rPr>
      </w:pPr>
      <w:r w:rsidRPr="00E20BCF">
        <w:rPr>
          <w:rFonts w:ascii="MS Gothic" w:eastAsia="MS Gothic" w:hAnsi="MS Gothic" w:cs="MS Gothic"/>
          <w:sz w:val="22"/>
          <w:szCs w:val="22"/>
          <w:lang w:val="fr-CA"/>
        </w:rPr>
        <w:t>☐</w:t>
      </w:r>
      <w:r w:rsidRPr="00E20BCF">
        <w:rPr>
          <w:rFonts w:ascii="Calibri" w:eastAsia="Times New Roman" w:hAnsi="Calibri" w:cs="Calibri"/>
          <w:sz w:val="22"/>
          <w:szCs w:val="22"/>
          <w:lang w:val="fr-CA"/>
        </w:rPr>
        <w:t xml:space="preserve"> </w:t>
      </w:r>
      <w:r w:rsidR="006E7016">
        <w:rPr>
          <w:rFonts w:ascii="Calibri" w:eastAsia="Times New Roman" w:hAnsi="Calibri" w:cs="Calibri"/>
          <w:sz w:val="22"/>
          <w:szCs w:val="22"/>
          <w:lang w:val="fr-CA"/>
        </w:rPr>
        <w:t>B</w:t>
      </w:r>
      <w:r w:rsidRPr="00E20BCF">
        <w:rPr>
          <w:rFonts w:ascii="Calibri" w:eastAsia="Times New Roman" w:hAnsi="Calibri" w:cs="Calibri"/>
          <w:sz w:val="22"/>
          <w:szCs w:val="22"/>
          <w:lang w:val="fr-CA"/>
        </w:rPr>
        <w:t xml:space="preserve">udget </w:t>
      </w:r>
      <w:r w:rsidR="006E7016">
        <w:rPr>
          <w:rFonts w:ascii="Calibri" w:eastAsia="Times New Roman" w:hAnsi="Calibri" w:cs="Calibri"/>
          <w:sz w:val="22"/>
          <w:szCs w:val="22"/>
          <w:lang w:val="fr-CA"/>
        </w:rPr>
        <w:t xml:space="preserve">provisoire </w:t>
      </w:r>
      <w:r w:rsidRPr="00E20BCF">
        <w:rPr>
          <w:rFonts w:ascii="Calibri" w:eastAsia="Times New Roman" w:hAnsi="Calibri" w:cs="Calibri"/>
          <w:sz w:val="22"/>
          <w:szCs w:val="22"/>
          <w:lang w:val="fr-CA"/>
        </w:rPr>
        <w:t xml:space="preserve">proposé (E) </w:t>
      </w:r>
    </w:p>
    <w:p w14:paraId="64B77798" w14:textId="77777777" w:rsidR="00E20BCF" w:rsidRPr="00E20BCF" w:rsidRDefault="00E20BCF" w:rsidP="006E7016">
      <w:pPr>
        <w:ind w:left="426"/>
        <w:rPr>
          <w:rFonts w:asciiTheme="minorHAnsi" w:eastAsia="Times New Roman" w:hAnsiTheme="minorHAnsi" w:cs="Arial"/>
          <w:sz w:val="22"/>
          <w:szCs w:val="22"/>
          <w:lang w:val="fr-CA"/>
        </w:rPr>
      </w:pPr>
      <w:r w:rsidRPr="00E20BCF">
        <w:rPr>
          <w:rFonts w:ascii="MS Gothic" w:eastAsia="MS Gothic" w:hAnsi="MS Gothic" w:cs="MS Gothic"/>
          <w:sz w:val="22"/>
          <w:szCs w:val="22"/>
          <w:lang w:val="fr-CA"/>
        </w:rPr>
        <w:t>☐</w:t>
      </w:r>
      <w:r w:rsidRPr="00E20BCF">
        <w:rPr>
          <w:rFonts w:ascii="Calibri" w:eastAsia="Times New Roman" w:hAnsi="Calibri" w:cs="Calibri"/>
          <w:sz w:val="22"/>
          <w:szCs w:val="22"/>
          <w:lang w:val="fr-CA"/>
        </w:rPr>
        <w:t xml:space="preserve"> Lettre de soutien du superviseur actuel (F) </w:t>
      </w:r>
    </w:p>
    <w:p w14:paraId="6D73FB00" w14:textId="77777777" w:rsidR="00E20BCF" w:rsidRPr="00E20BCF" w:rsidRDefault="00E20BCF" w:rsidP="006E7016">
      <w:pPr>
        <w:ind w:left="426"/>
        <w:rPr>
          <w:rFonts w:ascii="Calibri" w:eastAsia="Times New Roman" w:hAnsi="Calibri" w:cs="Calibri"/>
          <w:sz w:val="22"/>
          <w:szCs w:val="22"/>
          <w:lang w:val="fr-CA"/>
        </w:rPr>
      </w:pPr>
      <w:r w:rsidRPr="00E20BCF">
        <w:rPr>
          <w:rFonts w:ascii="MS Gothic" w:eastAsia="MS Gothic" w:hAnsi="MS Gothic" w:cs="MS Gothic"/>
          <w:sz w:val="22"/>
          <w:szCs w:val="22"/>
          <w:lang w:val="fr-CA"/>
        </w:rPr>
        <w:t>☐</w:t>
      </w:r>
      <w:r w:rsidRPr="00E20BCF">
        <w:rPr>
          <w:rFonts w:ascii="Calibri" w:eastAsia="Times New Roman" w:hAnsi="Calibri" w:cs="Calibri"/>
          <w:sz w:val="22"/>
          <w:szCs w:val="22"/>
          <w:lang w:val="fr-CA"/>
        </w:rPr>
        <w:t xml:space="preserve"> Lettre de soutien du superviseur partenaire (G)</w:t>
      </w:r>
    </w:p>
    <w:p w14:paraId="157127B6" w14:textId="77777777" w:rsidR="00E20BCF" w:rsidRPr="00E20BCF" w:rsidRDefault="00E20BCF" w:rsidP="006E7016">
      <w:pPr>
        <w:ind w:left="426"/>
        <w:rPr>
          <w:rFonts w:asciiTheme="minorHAnsi" w:eastAsia="Times New Roman" w:hAnsiTheme="minorHAnsi" w:cs="Arial"/>
          <w:sz w:val="22"/>
          <w:szCs w:val="22"/>
          <w:lang w:val="fr-CA"/>
        </w:rPr>
      </w:pPr>
    </w:p>
    <w:p w14:paraId="310D3C92" w14:textId="77777777" w:rsidR="00B21B70" w:rsidRPr="00E20BCF" w:rsidRDefault="00BE1E67" w:rsidP="00E20BCF">
      <w:pPr>
        <w:ind w:left="720"/>
        <w:rPr>
          <w:rFonts w:asciiTheme="minorHAnsi" w:eastAsia="Times New Roman" w:hAnsiTheme="minorHAnsi" w:cs="Arial"/>
          <w:sz w:val="22"/>
          <w:szCs w:val="22"/>
          <w:lang w:val="fr-CA"/>
        </w:rPr>
      </w:pPr>
      <w:r w:rsidRPr="00E20BCF">
        <w:rPr>
          <w:rFonts w:asciiTheme="minorHAnsi" w:eastAsia="Times New Roman" w:hAnsiTheme="minorHAnsi" w:cs="Arial"/>
          <w:sz w:val="22"/>
          <w:szCs w:val="22"/>
          <w:lang w:val="fr-CA"/>
        </w:rPr>
        <w:t xml:space="preserve"> </w:t>
      </w:r>
    </w:p>
    <w:p w14:paraId="63D98381" w14:textId="77777777" w:rsidR="00EB0E10" w:rsidRPr="00E20BCF" w:rsidRDefault="00EB0E10" w:rsidP="009C3799">
      <w:pPr>
        <w:rPr>
          <w:rFonts w:asciiTheme="minorHAnsi" w:eastAsia="Times New Roman" w:hAnsiTheme="minorHAnsi" w:cs="Arial"/>
          <w:b/>
          <w:color w:val="15387F"/>
          <w:sz w:val="22"/>
          <w:szCs w:val="22"/>
          <w:lang w:val="fr-CA"/>
        </w:rPr>
      </w:pPr>
    </w:p>
    <w:sectPr w:rsidR="00EB0E10" w:rsidRPr="00E20BCF" w:rsidSect="00B21B70">
      <w:headerReference w:type="default" r:id="rId10"/>
      <w:footerReference w:type="default" r:id="rId11"/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C8C1" w14:textId="77777777" w:rsidR="008F32E5" w:rsidRDefault="008F32E5" w:rsidP="002030C4">
      <w:r>
        <w:separator/>
      </w:r>
    </w:p>
  </w:endnote>
  <w:endnote w:type="continuationSeparator" w:id="0">
    <w:p w14:paraId="12AEF54C" w14:textId="77777777" w:rsidR="008F32E5" w:rsidRDefault="008F32E5" w:rsidP="0020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6AF2" w14:textId="77777777" w:rsidR="002030C4" w:rsidRPr="002030C4" w:rsidRDefault="002030C4" w:rsidP="002030C4">
    <w:pPr>
      <w:jc w:val="right"/>
      <w:rPr>
        <w:b/>
        <w:color w:val="CC2027"/>
        <w:sz w:val="32"/>
      </w:rPr>
    </w:pPr>
    <w:r w:rsidRPr="002030C4">
      <w:rPr>
        <w:b/>
        <w:color w:val="CC2027"/>
        <w:sz w:val="32"/>
      </w:rPr>
      <w:t>www.biocanrx.com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07301" w14:textId="77777777" w:rsidR="008F32E5" w:rsidRDefault="008F32E5" w:rsidP="002030C4">
      <w:r>
        <w:separator/>
      </w:r>
    </w:p>
  </w:footnote>
  <w:footnote w:type="continuationSeparator" w:id="0">
    <w:p w14:paraId="1739E044" w14:textId="77777777" w:rsidR="008F32E5" w:rsidRDefault="008F32E5" w:rsidP="00203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8068" w14:textId="77777777" w:rsidR="002030C4" w:rsidRPr="002030C4" w:rsidRDefault="000F0C89" w:rsidP="00900BB0">
    <w:pPr>
      <w:pStyle w:val="Header"/>
      <w:jc w:val="right"/>
      <w:rPr>
        <w:lang w:val="fr-CA"/>
      </w:rPr>
    </w:pPr>
    <w:r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 wp14:anchorId="76D23F38" wp14:editId="7AD041B3">
          <wp:simplePos x="0" y="0"/>
          <wp:positionH relativeFrom="column">
            <wp:posOffset>-528336</wp:posOffset>
          </wp:positionH>
          <wp:positionV relativeFrom="paragraph">
            <wp:posOffset>-137439</wp:posOffset>
          </wp:positionV>
          <wp:extent cx="2200124" cy="877229"/>
          <wp:effectExtent l="0" t="0" r="0" b="0"/>
          <wp:wrapSquare wrapText="bothSides"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CanRx 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124" cy="877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2B03">
      <w:rPr>
        <w:lang w:val="fr-CA"/>
      </w:rPr>
      <w:t>R</w:t>
    </w:r>
    <w:r w:rsidR="00801F29">
      <w:rPr>
        <w:lang w:val="fr-CA"/>
      </w:rPr>
      <w:t>2020-03-13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3B47"/>
    <w:multiLevelType w:val="hybridMultilevel"/>
    <w:tmpl w:val="375664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F7C57"/>
    <w:multiLevelType w:val="hybridMultilevel"/>
    <w:tmpl w:val="A3E6496C"/>
    <w:lvl w:ilvl="0" w:tplc="813A04AA">
      <w:start w:val="3"/>
      <w:numFmt w:val="bullet"/>
      <w:lvlText w:val="-"/>
      <w:lvlJc w:val="left"/>
      <w:pPr>
        <w:ind w:left="1364" w:hanging="360"/>
      </w:pPr>
      <w:rPr>
        <w:rFonts w:ascii="Helvetica" w:eastAsia="Times New Roman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4C2C6A8E"/>
    <w:multiLevelType w:val="hybridMultilevel"/>
    <w:tmpl w:val="A9467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67DD1"/>
    <w:multiLevelType w:val="hybridMultilevel"/>
    <w:tmpl w:val="435C6E86"/>
    <w:lvl w:ilvl="0" w:tplc="813A04AA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71C93"/>
    <w:multiLevelType w:val="hybridMultilevel"/>
    <w:tmpl w:val="8758B9C6"/>
    <w:lvl w:ilvl="0" w:tplc="58B0B630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9546493"/>
    <w:multiLevelType w:val="hybridMultilevel"/>
    <w:tmpl w:val="49EAE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0C4"/>
    <w:rsid w:val="00020DD4"/>
    <w:rsid w:val="000813AF"/>
    <w:rsid w:val="000A58AE"/>
    <w:rsid w:val="000B784B"/>
    <w:rsid w:val="000F0C89"/>
    <w:rsid w:val="001122CF"/>
    <w:rsid w:val="0014143D"/>
    <w:rsid w:val="00154419"/>
    <w:rsid w:val="0018137C"/>
    <w:rsid w:val="001F7A74"/>
    <w:rsid w:val="002030C4"/>
    <w:rsid w:val="00212E10"/>
    <w:rsid w:val="00291C9F"/>
    <w:rsid w:val="00316EF6"/>
    <w:rsid w:val="003309DB"/>
    <w:rsid w:val="0033162F"/>
    <w:rsid w:val="00334933"/>
    <w:rsid w:val="003A6477"/>
    <w:rsid w:val="003C1D90"/>
    <w:rsid w:val="00411DBF"/>
    <w:rsid w:val="004358BC"/>
    <w:rsid w:val="00445C2F"/>
    <w:rsid w:val="004A53C9"/>
    <w:rsid w:val="004B5CFF"/>
    <w:rsid w:val="005601C8"/>
    <w:rsid w:val="00583C56"/>
    <w:rsid w:val="005D6F5B"/>
    <w:rsid w:val="005E0509"/>
    <w:rsid w:val="006C6A62"/>
    <w:rsid w:val="006D71D5"/>
    <w:rsid w:val="006E07C2"/>
    <w:rsid w:val="006E7016"/>
    <w:rsid w:val="006F3019"/>
    <w:rsid w:val="007C2DDC"/>
    <w:rsid w:val="00801F29"/>
    <w:rsid w:val="0087487C"/>
    <w:rsid w:val="008E4D9E"/>
    <w:rsid w:val="008F32E5"/>
    <w:rsid w:val="00900BB0"/>
    <w:rsid w:val="0090141A"/>
    <w:rsid w:val="00925C8E"/>
    <w:rsid w:val="009768F1"/>
    <w:rsid w:val="009B2B03"/>
    <w:rsid w:val="009B418C"/>
    <w:rsid w:val="009C3799"/>
    <w:rsid w:val="009C6DF8"/>
    <w:rsid w:val="009E0D00"/>
    <w:rsid w:val="00A80971"/>
    <w:rsid w:val="00AE1300"/>
    <w:rsid w:val="00B21B70"/>
    <w:rsid w:val="00B56485"/>
    <w:rsid w:val="00BE1E67"/>
    <w:rsid w:val="00C455E4"/>
    <w:rsid w:val="00C664CE"/>
    <w:rsid w:val="00D351D5"/>
    <w:rsid w:val="00D83AE7"/>
    <w:rsid w:val="00DA7673"/>
    <w:rsid w:val="00DC6326"/>
    <w:rsid w:val="00DD674C"/>
    <w:rsid w:val="00E20BCF"/>
    <w:rsid w:val="00E40A98"/>
    <w:rsid w:val="00EB0E10"/>
    <w:rsid w:val="00EE5500"/>
    <w:rsid w:val="00F8033E"/>
    <w:rsid w:val="00F94FCE"/>
    <w:rsid w:val="00FB04E7"/>
    <w:rsid w:val="00FE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1B246"/>
  <w15:docId w15:val="{332144D2-9B0F-F14D-B8B4-62EB95CE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B70"/>
    <w:rPr>
      <w:rFonts w:ascii="Helvetica" w:eastAsia="Times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0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030C4"/>
  </w:style>
  <w:style w:type="paragraph" w:styleId="Footer">
    <w:name w:val="footer"/>
    <w:basedOn w:val="Normal"/>
    <w:link w:val="FooterChar"/>
    <w:uiPriority w:val="99"/>
    <w:unhideWhenUsed/>
    <w:rsid w:val="002030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030C4"/>
  </w:style>
  <w:style w:type="character" w:styleId="Hyperlink">
    <w:name w:val="Hyperlink"/>
    <w:basedOn w:val="DefaultParagraphFont"/>
    <w:uiPriority w:val="99"/>
    <w:unhideWhenUsed/>
    <w:rsid w:val="002030C4"/>
    <w:rPr>
      <w:color w:val="0563C1" w:themeColor="hyperlink"/>
      <w:u w:val="single"/>
    </w:rPr>
  </w:style>
  <w:style w:type="character" w:styleId="Strong">
    <w:name w:val="Strong"/>
    <w:qFormat/>
    <w:rsid w:val="00B21B70"/>
    <w:rPr>
      <w:b/>
      <w:bCs/>
    </w:rPr>
  </w:style>
  <w:style w:type="table" w:styleId="TableGrid">
    <w:name w:val="Table Grid"/>
    <w:basedOn w:val="TableNormal"/>
    <w:uiPriority w:val="59"/>
    <w:rsid w:val="00B21B70"/>
    <w:rPr>
      <w:rFonts w:eastAsiaTheme="minorEastAsia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21B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B0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03"/>
    <w:rPr>
      <w:rFonts w:ascii="Times New Roman" w:eastAsia="Times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544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9C6D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16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vanco@biocanrx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vanco@biocanr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7BAC99-AE02-7247-8E51-88A22525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April Henry</cp:lastModifiedBy>
  <cp:revision>13</cp:revision>
  <dcterms:created xsi:type="dcterms:W3CDTF">2020-04-15T22:17:00Z</dcterms:created>
  <dcterms:modified xsi:type="dcterms:W3CDTF">2022-04-26T12:28:00Z</dcterms:modified>
</cp:coreProperties>
</file>