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09C0" w14:textId="77777777" w:rsidR="00B21B70" w:rsidRDefault="00B21B70" w:rsidP="00B21B70">
      <w:pPr>
        <w:jc w:val="center"/>
        <w:outlineLvl w:val="0"/>
        <w:rPr>
          <w:rFonts w:eastAsia="Times New Roman" w:cs="Arial"/>
          <w:b/>
          <w:color w:val="15387F"/>
          <w:sz w:val="28"/>
          <w:szCs w:val="28"/>
        </w:rPr>
      </w:pPr>
    </w:p>
    <w:p w14:paraId="6435DE4B" w14:textId="77777777" w:rsidR="00B21B70" w:rsidRDefault="00B21B70" w:rsidP="00B21B70">
      <w:pPr>
        <w:jc w:val="center"/>
        <w:outlineLvl w:val="0"/>
        <w:rPr>
          <w:rFonts w:eastAsia="Times New Roman" w:cs="Arial"/>
          <w:b/>
          <w:color w:val="15387F"/>
          <w:sz w:val="28"/>
          <w:szCs w:val="28"/>
        </w:rPr>
      </w:pPr>
    </w:p>
    <w:p w14:paraId="157C01D9" w14:textId="77777777" w:rsidR="00B21B70" w:rsidRPr="00154419" w:rsidRDefault="00B21B70" w:rsidP="00B21B70">
      <w:pPr>
        <w:jc w:val="center"/>
        <w:outlineLvl w:val="0"/>
        <w:rPr>
          <w:rFonts w:asciiTheme="minorHAnsi" w:eastAsia="Times New Roman" w:hAnsiTheme="minorHAnsi" w:cs="Arial"/>
          <w:b/>
          <w:color w:val="15387F"/>
          <w:sz w:val="28"/>
          <w:szCs w:val="28"/>
        </w:rPr>
      </w:pPr>
      <w:proofErr w:type="spellStart"/>
      <w:r w:rsidRPr="00154419">
        <w:rPr>
          <w:rFonts w:asciiTheme="minorHAnsi" w:eastAsia="Times New Roman" w:hAnsiTheme="minorHAnsi" w:cs="Arial"/>
          <w:b/>
          <w:color w:val="15387F"/>
          <w:sz w:val="28"/>
          <w:szCs w:val="28"/>
        </w:rPr>
        <w:t>BioCanRx</w:t>
      </w:r>
      <w:proofErr w:type="spellEnd"/>
      <w:r w:rsidRPr="00154419">
        <w:rPr>
          <w:rFonts w:asciiTheme="minorHAnsi" w:eastAsia="Times New Roman" w:hAnsiTheme="minorHAnsi" w:cs="Arial"/>
          <w:b/>
          <w:color w:val="15387F"/>
          <w:sz w:val="28"/>
          <w:szCs w:val="28"/>
        </w:rPr>
        <w:t xml:space="preserve"> Lab Exchange Program Details</w:t>
      </w:r>
    </w:p>
    <w:p w14:paraId="515F9934" w14:textId="77777777" w:rsidR="00B21B70" w:rsidRPr="00154419" w:rsidRDefault="00B21B70" w:rsidP="00B21B70">
      <w:pPr>
        <w:rPr>
          <w:rFonts w:asciiTheme="minorHAnsi" w:eastAsia="Times New Roman" w:hAnsiTheme="minorHAnsi" w:cs="Arial"/>
          <w:sz w:val="20"/>
        </w:rPr>
      </w:pPr>
    </w:p>
    <w:p w14:paraId="5B8542A5" w14:textId="06835A76" w:rsidR="00B21B70" w:rsidRPr="00BE1E67" w:rsidRDefault="00B21B70" w:rsidP="009E0D00">
      <w:pPr>
        <w:jc w:val="both"/>
        <w:rPr>
          <w:rFonts w:asciiTheme="minorHAnsi" w:eastAsia="Times New Roman" w:hAnsiTheme="minorHAnsi" w:cs="Arial"/>
          <w:sz w:val="22"/>
          <w:szCs w:val="22"/>
        </w:rPr>
      </w:pPr>
      <w:proofErr w:type="spellStart"/>
      <w:r w:rsidRPr="00BE1E67">
        <w:rPr>
          <w:rFonts w:asciiTheme="minorHAnsi" w:eastAsia="Times New Roman" w:hAnsiTheme="minorHAnsi" w:cs="Arial"/>
          <w:sz w:val="22"/>
          <w:szCs w:val="22"/>
        </w:rPr>
        <w:t>BioCanRx</w:t>
      </w:r>
      <w:r w:rsidR="009B2B03" w:rsidRPr="00BE1E67">
        <w:rPr>
          <w:rFonts w:asciiTheme="minorHAnsi" w:eastAsia="Times New Roman" w:hAnsiTheme="minorHAnsi" w:cs="Arial"/>
          <w:sz w:val="22"/>
          <w:szCs w:val="22"/>
        </w:rPr>
        <w:t>’s</w:t>
      </w:r>
      <w:proofErr w:type="spellEnd"/>
      <w:r w:rsidRPr="00BE1E67">
        <w:rPr>
          <w:rFonts w:asciiTheme="minorHAnsi" w:eastAsia="Times New Roman" w:hAnsiTheme="minorHAnsi" w:cs="Arial"/>
          <w:sz w:val="22"/>
          <w:szCs w:val="22"/>
        </w:rPr>
        <w:t xml:space="preserve"> mission is to build and foster a network that accelerates Canada’s most promising biologically based cancer therapies into clinical trials. Canadian scientists, staff and trainees</w:t>
      </w:r>
      <w:r w:rsidR="000F0C89" w:rsidRPr="00BE1E67">
        <w:rPr>
          <w:rFonts w:asciiTheme="minorHAnsi" w:eastAsia="Times New Roman" w:hAnsiTheme="minorHAnsi" w:cs="Arial"/>
          <w:sz w:val="22"/>
          <w:szCs w:val="22"/>
        </w:rPr>
        <w:t xml:space="preserve"> and other highly qualified personnel (HQP)</w:t>
      </w:r>
      <w:r w:rsidRPr="00BE1E67">
        <w:rPr>
          <w:rFonts w:asciiTheme="minorHAnsi" w:eastAsia="Times New Roman" w:hAnsiTheme="minorHAnsi" w:cs="Arial"/>
          <w:sz w:val="22"/>
          <w:szCs w:val="22"/>
        </w:rPr>
        <w:t xml:space="preserve"> involved in the research and development of cancer biotherapeutics are central to achieving our mission, and we believe that staying current with the field and continually updating one’s skill sets are important to your personal success, the network and the entire field.</w:t>
      </w:r>
    </w:p>
    <w:p w14:paraId="225A9D38" w14:textId="77777777" w:rsidR="00B21B70" w:rsidRPr="00BE1E67" w:rsidRDefault="00B21B70" w:rsidP="009E0D00">
      <w:pPr>
        <w:jc w:val="both"/>
        <w:rPr>
          <w:rFonts w:asciiTheme="minorHAnsi" w:eastAsia="Times New Roman" w:hAnsiTheme="minorHAnsi" w:cs="Arial"/>
          <w:sz w:val="22"/>
          <w:szCs w:val="22"/>
        </w:rPr>
      </w:pPr>
    </w:p>
    <w:p w14:paraId="094E28B1" w14:textId="77777777" w:rsidR="00B21B70" w:rsidRPr="00BE1E67" w:rsidRDefault="00B21B70" w:rsidP="009E0D00">
      <w:pPr>
        <w:jc w:val="both"/>
        <w:outlineLvl w:val="0"/>
        <w:rPr>
          <w:rFonts w:asciiTheme="minorHAnsi" w:eastAsia="Times New Roman" w:hAnsiTheme="minorHAnsi" w:cs="Arial"/>
          <w:b/>
          <w:color w:val="C00000"/>
          <w:sz w:val="22"/>
          <w:szCs w:val="22"/>
        </w:rPr>
      </w:pPr>
      <w:r w:rsidRPr="00BE1E67">
        <w:rPr>
          <w:rFonts w:asciiTheme="minorHAnsi" w:eastAsia="Times New Roman" w:hAnsiTheme="minorHAnsi" w:cs="Arial"/>
          <w:b/>
          <w:color w:val="C00000"/>
          <w:sz w:val="22"/>
          <w:szCs w:val="22"/>
        </w:rPr>
        <w:t>Program Deliverables</w:t>
      </w:r>
    </w:p>
    <w:p w14:paraId="167BBC62" w14:textId="77777777" w:rsidR="00B21B70" w:rsidRPr="00BE1E67" w:rsidRDefault="00B21B70" w:rsidP="009E0D00">
      <w:pPr>
        <w:jc w:val="both"/>
        <w:rPr>
          <w:rFonts w:asciiTheme="minorHAnsi" w:eastAsia="Times New Roman" w:hAnsiTheme="minorHAnsi" w:cs="Arial"/>
          <w:sz w:val="22"/>
          <w:szCs w:val="22"/>
        </w:rPr>
      </w:pPr>
    </w:p>
    <w:p w14:paraId="23F6CA47" w14:textId="04351F7E" w:rsidR="00B21B70" w:rsidRPr="00BE1E67" w:rsidRDefault="00B21B70" w:rsidP="009E0D00">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The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Lab Exchange Program aims to establish partnerships focused on training, in particular skills development and technology transfer, as well as strengthen connections between network members and/or industry partners. Lab exchanges can be </w:t>
      </w:r>
      <w:r w:rsidR="00801F29" w:rsidRPr="00BE1E67">
        <w:rPr>
          <w:rFonts w:asciiTheme="minorHAnsi" w:eastAsia="Times New Roman" w:hAnsiTheme="minorHAnsi" w:cs="Arial"/>
          <w:sz w:val="22"/>
          <w:szCs w:val="22"/>
        </w:rPr>
        <w:t xml:space="preserve">any duration, with reimbursement up to a maximum of $3000 CAD. </w:t>
      </w:r>
      <w:r w:rsidRPr="00BE1E67">
        <w:rPr>
          <w:rFonts w:asciiTheme="minorHAnsi" w:eastAsia="Times New Roman" w:hAnsiTheme="minorHAnsi" w:cs="Arial"/>
          <w:sz w:val="22"/>
          <w:szCs w:val="22"/>
        </w:rPr>
        <w:t xml:space="preserve">Exchanges are expected to benefit the participating </w:t>
      </w:r>
      <w:r w:rsidR="000F0C89" w:rsidRPr="00BE1E67">
        <w:rPr>
          <w:rFonts w:asciiTheme="minorHAnsi" w:eastAsia="Times New Roman" w:hAnsiTheme="minorHAnsi" w:cs="Arial"/>
          <w:sz w:val="22"/>
          <w:szCs w:val="22"/>
        </w:rPr>
        <w:t>HQP</w:t>
      </w:r>
      <w:r w:rsidR="00801F29" w:rsidRPr="00BE1E67">
        <w:rPr>
          <w:rFonts w:asciiTheme="minorHAnsi" w:eastAsia="Times New Roman" w:hAnsiTheme="minorHAnsi" w:cs="Arial"/>
          <w:sz w:val="22"/>
          <w:szCs w:val="22"/>
        </w:rPr>
        <w:t xml:space="preserve"> </w:t>
      </w:r>
      <w:r w:rsidRPr="00BE1E67">
        <w:rPr>
          <w:rFonts w:asciiTheme="minorHAnsi" w:eastAsia="Times New Roman" w:hAnsiTheme="minorHAnsi" w:cs="Arial"/>
          <w:sz w:val="22"/>
          <w:szCs w:val="22"/>
        </w:rPr>
        <w:t xml:space="preserve">with their professional development through specialized skills development and networking, their lab group/work team, their project/work responsibilities and the greater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network. </w:t>
      </w:r>
    </w:p>
    <w:p w14:paraId="4DBAD4FE" w14:textId="77777777" w:rsidR="00B21B70" w:rsidRPr="00BE1E67" w:rsidRDefault="00B21B70" w:rsidP="009E0D00">
      <w:pPr>
        <w:jc w:val="both"/>
        <w:rPr>
          <w:rFonts w:asciiTheme="minorHAnsi" w:eastAsia="Times New Roman" w:hAnsiTheme="minorHAnsi" w:cs="Arial"/>
          <w:sz w:val="22"/>
          <w:szCs w:val="22"/>
        </w:rPr>
      </w:pPr>
    </w:p>
    <w:p w14:paraId="1389EDE4" w14:textId="2C6006AF" w:rsidR="00B21B70" w:rsidRPr="00BE1E67" w:rsidRDefault="00B21B70" w:rsidP="009E0D00">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In order to meet the dynamic needs of the network, this program has a rolling open deadline</w:t>
      </w:r>
      <w:r w:rsidR="000F0C89" w:rsidRPr="00BE1E67">
        <w:rPr>
          <w:rFonts w:asciiTheme="minorHAnsi" w:eastAsia="Times New Roman" w:hAnsiTheme="minorHAnsi" w:cs="Arial"/>
          <w:sz w:val="22"/>
          <w:szCs w:val="22"/>
        </w:rPr>
        <w:t xml:space="preserve">. We will be offering two lab exchange awards per fiscal year. The following dates represent fiscal year </w:t>
      </w:r>
      <w:r w:rsidR="000F0C89" w:rsidRPr="001F560E">
        <w:rPr>
          <w:rFonts w:asciiTheme="minorHAnsi" w:eastAsia="Times New Roman" w:hAnsiTheme="minorHAnsi" w:cs="Arial"/>
          <w:sz w:val="22"/>
          <w:szCs w:val="22"/>
          <w:highlight w:val="yellow"/>
        </w:rPr>
        <w:t>202</w:t>
      </w:r>
      <w:r w:rsidR="00AD60B0" w:rsidRPr="001F560E">
        <w:rPr>
          <w:rFonts w:asciiTheme="minorHAnsi" w:eastAsia="Times New Roman" w:hAnsiTheme="minorHAnsi" w:cs="Arial"/>
          <w:sz w:val="22"/>
          <w:szCs w:val="22"/>
          <w:highlight w:val="yellow"/>
        </w:rPr>
        <w:t>2-2023</w:t>
      </w:r>
      <w:r w:rsidR="000F0C89" w:rsidRPr="00BE1E67">
        <w:rPr>
          <w:rFonts w:asciiTheme="minorHAnsi" w:eastAsia="Times New Roman" w:hAnsiTheme="minorHAnsi" w:cs="Arial"/>
          <w:sz w:val="22"/>
          <w:szCs w:val="22"/>
        </w:rPr>
        <w:t xml:space="preserve">. </w:t>
      </w:r>
    </w:p>
    <w:p w14:paraId="2D780099" w14:textId="77777777" w:rsidR="00B21B70" w:rsidRPr="00BE1E67" w:rsidRDefault="00B21B70" w:rsidP="009E0D00">
      <w:pPr>
        <w:jc w:val="both"/>
        <w:rPr>
          <w:rFonts w:asciiTheme="minorHAnsi" w:eastAsia="Times New Roman" w:hAnsiTheme="minorHAnsi"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0F0C89" w:rsidRPr="00154419" w14:paraId="6A6500E2" w14:textId="77777777" w:rsidTr="00DA7673">
        <w:trPr>
          <w:trHeight w:val="300"/>
          <w:jc w:val="center"/>
        </w:trPr>
        <w:tc>
          <w:tcPr>
            <w:tcW w:w="4248" w:type="dxa"/>
            <w:shd w:val="clear" w:color="auto" w:fill="D9E2F3" w:themeFill="accent1" w:themeFillTint="33"/>
          </w:tcPr>
          <w:p w14:paraId="138754FD" w14:textId="77777777" w:rsidR="000F0C89" w:rsidRPr="00154419" w:rsidRDefault="000F0C89" w:rsidP="000B0FE0">
            <w:pPr>
              <w:rPr>
                <w:rFonts w:asciiTheme="minorHAnsi" w:eastAsia="Times New Roman" w:hAnsiTheme="minorHAnsi" w:cs="Arial"/>
                <w:b/>
                <w:sz w:val="20"/>
              </w:rPr>
            </w:pPr>
            <w:r w:rsidRPr="00154419">
              <w:rPr>
                <w:rFonts w:asciiTheme="minorHAnsi" w:eastAsia="Times New Roman" w:hAnsiTheme="minorHAnsi" w:cs="Arial"/>
                <w:b/>
                <w:sz w:val="20"/>
              </w:rPr>
              <w:t>Application Deadlines</w:t>
            </w:r>
          </w:p>
        </w:tc>
      </w:tr>
      <w:tr w:rsidR="000F0C89" w:rsidRPr="00154419" w14:paraId="6BEB0E4B" w14:textId="77777777" w:rsidTr="000813AF">
        <w:trPr>
          <w:jc w:val="center"/>
        </w:trPr>
        <w:tc>
          <w:tcPr>
            <w:tcW w:w="4248" w:type="dxa"/>
            <w:shd w:val="clear" w:color="auto" w:fill="auto"/>
          </w:tcPr>
          <w:p w14:paraId="072325F3" w14:textId="18A209B5" w:rsidR="000F0C89" w:rsidRPr="001F560E" w:rsidRDefault="004F1214" w:rsidP="001F560E">
            <w:pPr>
              <w:jc w:val="center"/>
              <w:rPr>
                <w:rFonts w:asciiTheme="minorHAnsi" w:eastAsia="Times New Roman" w:hAnsiTheme="minorHAnsi" w:cs="Arial"/>
                <w:sz w:val="20"/>
                <w:highlight w:val="yellow"/>
              </w:rPr>
            </w:pPr>
            <w:r w:rsidRPr="001F560E">
              <w:rPr>
                <w:rFonts w:asciiTheme="minorHAnsi" w:eastAsia="Times New Roman" w:hAnsiTheme="minorHAnsi" w:cs="Arial"/>
                <w:sz w:val="20"/>
                <w:highlight w:val="yellow"/>
              </w:rPr>
              <w:t>Friday May 27</w:t>
            </w:r>
            <w:r w:rsidRPr="001F560E">
              <w:rPr>
                <w:rFonts w:asciiTheme="minorHAnsi" w:eastAsia="Times New Roman" w:hAnsiTheme="minorHAnsi" w:cs="Arial"/>
                <w:sz w:val="20"/>
                <w:highlight w:val="yellow"/>
                <w:vertAlign w:val="superscript"/>
              </w:rPr>
              <w:t>th</w:t>
            </w:r>
            <w:r w:rsidR="001F560E" w:rsidRPr="001F560E">
              <w:rPr>
                <w:rFonts w:asciiTheme="minorHAnsi" w:eastAsia="Times New Roman" w:hAnsiTheme="minorHAnsi" w:cs="Arial"/>
                <w:sz w:val="20"/>
                <w:highlight w:val="yellow"/>
              </w:rPr>
              <w:t>,</w:t>
            </w:r>
            <w:r w:rsidRPr="001F560E">
              <w:rPr>
                <w:rFonts w:asciiTheme="minorHAnsi" w:eastAsia="Times New Roman" w:hAnsiTheme="minorHAnsi" w:cs="Arial"/>
                <w:sz w:val="20"/>
                <w:highlight w:val="yellow"/>
              </w:rPr>
              <w:t xml:space="preserve"> 2022</w:t>
            </w:r>
          </w:p>
        </w:tc>
      </w:tr>
      <w:tr w:rsidR="000F0C89" w:rsidRPr="00154419" w14:paraId="08EF0AA0" w14:textId="77777777" w:rsidTr="000813AF">
        <w:trPr>
          <w:jc w:val="center"/>
        </w:trPr>
        <w:tc>
          <w:tcPr>
            <w:tcW w:w="4248" w:type="dxa"/>
            <w:shd w:val="clear" w:color="auto" w:fill="auto"/>
          </w:tcPr>
          <w:p w14:paraId="339053D3" w14:textId="1B5B365A" w:rsidR="000F0C89" w:rsidRPr="001F560E" w:rsidRDefault="004F1214" w:rsidP="001F560E">
            <w:pPr>
              <w:jc w:val="center"/>
              <w:rPr>
                <w:rFonts w:asciiTheme="minorHAnsi" w:eastAsia="Times New Roman" w:hAnsiTheme="minorHAnsi" w:cs="Arial"/>
                <w:sz w:val="20"/>
                <w:highlight w:val="yellow"/>
              </w:rPr>
            </w:pPr>
            <w:r w:rsidRPr="001F560E">
              <w:rPr>
                <w:rFonts w:asciiTheme="minorHAnsi" w:eastAsia="Times New Roman" w:hAnsiTheme="minorHAnsi" w:cs="Arial"/>
                <w:sz w:val="20"/>
                <w:highlight w:val="yellow"/>
              </w:rPr>
              <w:t>Friday September 2</w:t>
            </w:r>
            <w:r w:rsidR="001F560E" w:rsidRPr="001F560E">
              <w:rPr>
                <w:rFonts w:asciiTheme="minorHAnsi" w:eastAsia="Times New Roman" w:hAnsiTheme="minorHAnsi" w:cs="Arial"/>
                <w:sz w:val="20"/>
                <w:highlight w:val="yellow"/>
                <w:vertAlign w:val="superscript"/>
              </w:rPr>
              <w:t>nd</w:t>
            </w:r>
            <w:r w:rsidR="001F560E" w:rsidRPr="001F560E">
              <w:rPr>
                <w:rFonts w:asciiTheme="minorHAnsi" w:eastAsia="Times New Roman" w:hAnsiTheme="minorHAnsi" w:cs="Arial"/>
                <w:sz w:val="20"/>
                <w:highlight w:val="yellow"/>
              </w:rPr>
              <w:t xml:space="preserve">, </w:t>
            </w:r>
            <w:r w:rsidRPr="001F560E">
              <w:rPr>
                <w:rFonts w:asciiTheme="minorHAnsi" w:eastAsia="Times New Roman" w:hAnsiTheme="minorHAnsi" w:cs="Arial"/>
                <w:sz w:val="20"/>
                <w:highlight w:val="yellow"/>
              </w:rPr>
              <w:t>2022</w:t>
            </w:r>
          </w:p>
        </w:tc>
      </w:tr>
      <w:tr w:rsidR="000F0C89" w:rsidRPr="00154419" w14:paraId="1324C837" w14:textId="77777777" w:rsidTr="000813AF">
        <w:trPr>
          <w:jc w:val="center"/>
        </w:trPr>
        <w:tc>
          <w:tcPr>
            <w:tcW w:w="4248" w:type="dxa"/>
            <w:shd w:val="clear" w:color="auto" w:fill="auto"/>
          </w:tcPr>
          <w:p w14:paraId="0940B9CE" w14:textId="5386C850" w:rsidR="000F0C89" w:rsidRPr="00154419" w:rsidRDefault="000F0C89" w:rsidP="001F560E">
            <w:pPr>
              <w:jc w:val="center"/>
              <w:rPr>
                <w:rFonts w:asciiTheme="minorHAnsi" w:eastAsia="Times New Roman" w:hAnsiTheme="minorHAnsi" w:cs="Arial"/>
                <w:sz w:val="20"/>
              </w:rPr>
            </w:pPr>
            <w:r w:rsidRPr="00154419">
              <w:rPr>
                <w:rFonts w:asciiTheme="minorHAnsi" w:eastAsia="Times New Roman" w:hAnsiTheme="minorHAnsi" w:cs="Arial"/>
                <w:sz w:val="20"/>
              </w:rPr>
              <w:t>Subsequent years’ deadlines to be announced</w:t>
            </w:r>
          </w:p>
        </w:tc>
      </w:tr>
    </w:tbl>
    <w:p w14:paraId="13FB19B8" w14:textId="77777777" w:rsidR="00B21B70" w:rsidRPr="00154419" w:rsidRDefault="00B21B70" w:rsidP="00B21B70">
      <w:pPr>
        <w:rPr>
          <w:rFonts w:asciiTheme="minorHAnsi" w:eastAsia="Times New Roman" w:hAnsiTheme="minorHAnsi" w:cs="Arial"/>
          <w:sz w:val="20"/>
        </w:rPr>
      </w:pPr>
    </w:p>
    <w:p w14:paraId="231657CD" w14:textId="77777777" w:rsidR="00B21B70" w:rsidRPr="00BE1E67" w:rsidRDefault="00B21B70" w:rsidP="00B21B70">
      <w:pPr>
        <w:outlineLvl w:val="0"/>
        <w:rPr>
          <w:rFonts w:asciiTheme="minorHAnsi" w:eastAsia="Times New Roman" w:hAnsiTheme="minorHAnsi" w:cs="Arial"/>
          <w:b/>
          <w:color w:val="C00000"/>
          <w:sz w:val="22"/>
          <w:szCs w:val="22"/>
        </w:rPr>
      </w:pPr>
      <w:r w:rsidRPr="00BE1E67">
        <w:rPr>
          <w:rFonts w:asciiTheme="minorHAnsi" w:eastAsia="Times New Roman" w:hAnsiTheme="minorHAnsi" w:cs="Arial"/>
          <w:b/>
          <w:color w:val="C00000"/>
          <w:sz w:val="22"/>
          <w:szCs w:val="22"/>
        </w:rPr>
        <w:t xml:space="preserve">Eligibility </w:t>
      </w:r>
    </w:p>
    <w:p w14:paraId="2B33108A" w14:textId="77777777" w:rsidR="00B21B70" w:rsidRPr="00BE1E67" w:rsidRDefault="00B21B70" w:rsidP="00B21B70">
      <w:pPr>
        <w:rPr>
          <w:rFonts w:asciiTheme="minorHAnsi" w:eastAsia="Times New Roman" w:hAnsiTheme="minorHAnsi" w:cs="Arial"/>
          <w:b/>
          <w:sz w:val="22"/>
          <w:szCs w:val="22"/>
        </w:rPr>
      </w:pPr>
    </w:p>
    <w:p w14:paraId="610E5965" w14:textId="64B95726" w:rsidR="00B21B70" w:rsidRPr="00BE1E67" w:rsidRDefault="00B21B70" w:rsidP="009E0D00">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The Lab Exchange Program is open to </w:t>
      </w:r>
      <w:r w:rsidR="009B2B03" w:rsidRPr="00BE1E67">
        <w:rPr>
          <w:rFonts w:asciiTheme="minorHAnsi" w:eastAsia="Times New Roman" w:hAnsiTheme="minorHAnsi" w:cs="Arial"/>
          <w:sz w:val="22"/>
          <w:szCs w:val="22"/>
        </w:rPr>
        <w:t xml:space="preserve">all </w:t>
      </w:r>
      <w:proofErr w:type="spellStart"/>
      <w:r w:rsidR="009B2B03" w:rsidRPr="00BE1E67">
        <w:rPr>
          <w:rFonts w:asciiTheme="minorHAnsi" w:eastAsia="Times New Roman" w:hAnsiTheme="minorHAnsi" w:cs="Arial"/>
          <w:sz w:val="22"/>
          <w:szCs w:val="22"/>
        </w:rPr>
        <w:t>BioCanRx</w:t>
      </w:r>
      <w:proofErr w:type="spellEnd"/>
      <w:r w:rsidR="009B2B03" w:rsidRPr="00BE1E67">
        <w:rPr>
          <w:rFonts w:asciiTheme="minorHAnsi" w:eastAsia="Times New Roman" w:hAnsiTheme="minorHAnsi" w:cs="Arial"/>
          <w:sz w:val="22"/>
          <w:szCs w:val="22"/>
        </w:rPr>
        <w:t xml:space="preserve"> Highly Qualified Personnel (HQP): </w:t>
      </w:r>
      <w:r w:rsidRPr="00BE1E67">
        <w:rPr>
          <w:rFonts w:asciiTheme="minorHAnsi" w:eastAsia="Times New Roman" w:hAnsiTheme="minorHAnsi" w:cs="Arial"/>
          <w:sz w:val="22"/>
          <w:szCs w:val="22"/>
        </w:rPr>
        <w:t>graduate students, post-doctoral fellows, research associates, techni</w:t>
      </w:r>
      <w:r w:rsidR="009B2B03" w:rsidRPr="00BE1E67">
        <w:rPr>
          <w:rFonts w:asciiTheme="minorHAnsi" w:eastAsia="Times New Roman" w:hAnsiTheme="minorHAnsi" w:cs="Arial"/>
          <w:sz w:val="22"/>
          <w:szCs w:val="22"/>
        </w:rPr>
        <w:t xml:space="preserve">cal and clinical research staff, other staff </w:t>
      </w:r>
      <w:r w:rsidRPr="00BE1E67">
        <w:rPr>
          <w:rFonts w:asciiTheme="minorHAnsi" w:eastAsia="Times New Roman" w:hAnsiTheme="minorHAnsi" w:cs="Arial"/>
          <w:sz w:val="22"/>
          <w:szCs w:val="22"/>
        </w:rPr>
        <w:t xml:space="preserve">working under a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founding or currently funded Principal Investigator. This program is also open to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Core</w:t>
      </w:r>
      <w:r w:rsidR="004F1214">
        <w:rPr>
          <w:rFonts w:asciiTheme="minorHAnsi" w:eastAsia="Times New Roman" w:hAnsiTheme="minorHAnsi" w:cs="Arial"/>
          <w:sz w:val="22"/>
          <w:szCs w:val="22"/>
        </w:rPr>
        <w:t xml:space="preserve">, </w:t>
      </w:r>
      <w:r w:rsidR="004F1214" w:rsidRPr="004F1214">
        <w:rPr>
          <w:rFonts w:asciiTheme="minorHAnsi" w:eastAsia="Times New Roman" w:hAnsiTheme="minorHAnsi" w:cs="Arial"/>
          <w:sz w:val="22"/>
          <w:szCs w:val="22"/>
          <w:highlight w:val="yellow"/>
        </w:rPr>
        <w:t xml:space="preserve">Biomanufacturing, and Point of Care </w:t>
      </w:r>
      <w:r w:rsidRPr="004F1214">
        <w:rPr>
          <w:rFonts w:asciiTheme="minorHAnsi" w:eastAsia="Times New Roman" w:hAnsiTheme="minorHAnsi" w:cs="Arial"/>
          <w:sz w:val="22"/>
          <w:szCs w:val="22"/>
          <w:highlight w:val="yellow"/>
        </w:rPr>
        <w:t>staff.</w:t>
      </w:r>
    </w:p>
    <w:p w14:paraId="7E885AAB" w14:textId="77777777" w:rsidR="00B21B70" w:rsidRPr="00BE1E67" w:rsidRDefault="00B21B70" w:rsidP="009E0D00">
      <w:pPr>
        <w:jc w:val="both"/>
        <w:rPr>
          <w:rFonts w:asciiTheme="minorHAnsi" w:eastAsia="Times New Roman" w:hAnsiTheme="minorHAnsi" w:cs="Arial"/>
          <w:sz w:val="22"/>
          <w:szCs w:val="22"/>
        </w:rPr>
      </w:pPr>
    </w:p>
    <w:p w14:paraId="500B504D" w14:textId="77777777" w:rsidR="00B21B70" w:rsidRPr="00BE1E67" w:rsidRDefault="00B21B70" w:rsidP="009E0D00">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The partnering research group or industry partner must be providing specialized skills training or technology transfer not widely available.</w:t>
      </w:r>
    </w:p>
    <w:p w14:paraId="5D146F51" w14:textId="77777777" w:rsidR="00B21B70" w:rsidRPr="00BE1E67" w:rsidRDefault="00B21B70" w:rsidP="009E0D00">
      <w:pPr>
        <w:jc w:val="both"/>
        <w:rPr>
          <w:rFonts w:asciiTheme="minorHAnsi" w:eastAsia="Times New Roman" w:hAnsiTheme="minorHAnsi" w:cs="Arial"/>
          <w:sz w:val="22"/>
          <w:szCs w:val="22"/>
        </w:rPr>
      </w:pPr>
    </w:p>
    <w:p w14:paraId="73FF4BFE" w14:textId="77777777" w:rsidR="00B21B70" w:rsidRPr="00BE1E67" w:rsidRDefault="00B21B70" w:rsidP="009E0D00">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Priority will be given to exchanges between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research/clinical groups or between a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research group and industry partner.</w:t>
      </w:r>
    </w:p>
    <w:p w14:paraId="241339C0" w14:textId="77777777" w:rsidR="00B21B70" w:rsidRPr="00BE1E67" w:rsidRDefault="00B21B70" w:rsidP="009E0D00">
      <w:pPr>
        <w:jc w:val="both"/>
        <w:rPr>
          <w:rFonts w:asciiTheme="minorHAnsi" w:eastAsia="Times New Roman" w:hAnsiTheme="minorHAnsi" w:cs="Arial"/>
          <w:sz w:val="22"/>
          <w:szCs w:val="22"/>
        </w:rPr>
      </w:pPr>
    </w:p>
    <w:p w14:paraId="109B3293" w14:textId="4952277A" w:rsidR="00B21B70" w:rsidRPr="00BE1E67" w:rsidRDefault="00B21B70" w:rsidP="009E0D00">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If you are unsure about your eligibility, please contact </w:t>
      </w:r>
      <w:r w:rsidR="00AD60B0" w:rsidRPr="004F1214">
        <w:rPr>
          <w:rFonts w:asciiTheme="minorHAnsi" w:eastAsia="Times New Roman" w:hAnsiTheme="minorHAnsi" w:cs="Arial"/>
          <w:sz w:val="22"/>
          <w:szCs w:val="22"/>
          <w:highlight w:val="yellow"/>
        </w:rPr>
        <w:t>Sarah Ivanco</w:t>
      </w:r>
      <w:r w:rsidRPr="004F1214">
        <w:rPr>
          <w:rFonts w:asciiTheme="minorHAnsi" w:eastAsia="Times New Roman" w:hAnsiTheme="minorHAnsi" w:cs="Arial"/>
          <w:sz w:val="22"/>
          <w:szCs w:val="22"/>
          <w:highlight w:val="yellow"/>
        </w:rPr>
        <w:t>, Manager of</w:t>
      </w:r>
      <w:r w:rsidR="00AD60B0" w:rsidRPr="004F1214">
        <w:rPr>
          <w:rFonts w:asciiTheme="minorHAnsi" w:eastAsia="Times New Roman" w:hAnsiTheme="minorHAnsi" w:cs="Arial"/>
          <w:sz w:val="22"/>
          <w:szCs w:val="22"/>
          <w:highlight w:val="yellow"/>
        </w:rPr>
        <w:t xml:space="preserve"> EDI and </w:t>
      </w:r>
      <w:r w:rsidRPr="004F1214">
        <w:rPr>
          <w:rFonts w:asciiTheme="minorHAnsi" w:eastAsia="Times New Roman" w:hAnsiTheme="minorHAnsi" w:cs="Arial"/>
          <w:sz w:val="22"/>
          <w:szCs w:val="22"/>
          <w:highlight w:val="yellow"/>
        </w:rPr>
        <w:t xml:space="preserve">Training </w:t>
      </w:r>
      <w:r w:rsidRPr="00EC1C7D">
        <w:rPr>
          <w:rFonts w:asciiTheme="minorHAnsi" w:eastAsia="Times New Roman" w:hAnsiTheme="minorHAnsi" w:cs="Arial"/>
          <w:sz w:val="22"/>
          <w:szCs w:val="22"/>
          <w:highlight w:val="yellow"/>
        </w:rPr>
        <w:t>Programs, a</w:t>
      </w:r>
      <w:r w:rsidR="00AD60B0" w:rsidRPr="00EC1C7D">
        <w:rPr>
          <w:rFonts w:asciiTheme="minorHAnsi" w:eastAsia="Times New Roman" w:hAnsiTheme="minorHAnsi" w:cs="Arial"/>
          <w:sz w:val="22"/>
          <w:szCs w:val="22"/>
          <w:highlight w:val="yellow"/>
        </w:rPr>
        <w:t xml:space="preserve">t </w:t>
      </w:r>
      <w:hyperlink r:id="rId8" w:history="1">
        <w:r w:rsidR="00AD60B0" w:rsidRPr="00EC1C7D">
          <w:rPr>
            <w:rStyle w:val="Hyperlink"/>
            <w:rFonts w:asciiTheme="minorHAnsi" w:eastAsia="Times New Roman" w:hAnsiTheme="minorHAnsi" w:cs="Arial"/>
            <w:sz w:val="22"/>
            <w:szCs w:val="22"/>
            <w:highlight w:val="yellow"/>
          </w:rPr>
          <w:t>sivanco@biocanrx.com</w:t>
        </w:r>
      </w:hyperlink>
      <w:r w:rsidRPr="00EC1C7D">
        <w:rPr>
          <w:rFonts w:asciiTheme="minorHAnsi" w:eastAsia="Times New Roman" w:hAnsiTheme="minorHAnsi" w:cs="Arial"/>
          <w:sz w:val="22"/>
          <w:szCs w:val="22"/>
          <w:highlight w:val="yellow"/>
        </w:rPr>
        <w:t>.</w:t>
      </w:r>
    </w:p>
    <w:p w14:paraId="2CEFF13E" w14:textId="77777777" w:rsidR="00B21B70" w:rsidRPr="00BE1E67" w:rsidRDefault="00B21B70" w:rsidP="00B21B70">
      <w:pPr>
        <w:rPr>
          <w:rFonts w:asciiTheme="minorHAnsi" w:eastAsia="Times New Roman" w:hAnsiTheme="minorHAnsi" w:cs="Arial"/>
          <w:sz w:val="22"/>
          <w:szCs w:val="22"/>
        </w:rPr>
      </w:pPr>
    </w:p>
    <w:p w14:paraId="0D179F7D" w14:textId="77777777" w:rsidR="00BE1E67" w:rsidRDefault="00BE1E67" w:rsidP="00B21B70">
      <w:pPr>
        <w:outlineLvl w:val="0"/>
        <w:rPr>
          <w:rFonts w:asciiTheme="minorHAnsi" w:eastAsia="Times New Roman" w:hAnsiTheme="minorHAnsi" w:cs="Arial"/>
          <w:b/>
          <w:color w:val="C00000"/>
          <w:sz w:val="22"/>
          <w:szCs w:val="22"/>
        </w:rPr>
      </w:pPr>
    </w:p>
    <w:p w14:paraId="7A35939D" w14:textId="77777777" w:rsidR="00BE1E67" w:rsidRDefault="00BE1E67" w:rsidP="00B21B70">
      <w:pPr>
        <w:outlineLvl w:val="0"/>
        <w:rPr>
          <w:rFonts w:asciiTheme="minorHAnsi" w:eastAsia="Times New Roman" w:hAnsiTheme="minorHAnsi" w:cs="Arial"/>
          <w:b/>
          <w:color w:val="C00000"/>
          <w:sz w:val="22"/>
          <w:szCs w:val="22"/>
        </w:rPr>
      </w:pPr>
    </w:p>
    <w:p w14:paraId="128C2572" w14:textId="77777777" w:rsidR="00BE1E67" w:rsidRDefault="00BE1E67" w:rsidP="00B21B70">
      <w:pPr>
        <w:outlineLvl w:val="0"/>
        <w:rPr>
          <w:rFonts w:asciiTheme="minorHAnsi" w:eastAsia="Times New Roman" w:hAnsiTheme="minorHAnsi" w:cs="Arial"/>
          <w:b/>
          <w:color w:val="C00000"/>
          <w:sz w:val="22"/>
          <w:szCs w:val="22"/>
        </w:rPr>
      </w:pPr>
    </w:p>
    <w:p w14:paraId="01E57EB2" w14:textId="77777777" w:rsidR="00BE1E67" w:rsidRDefault="00BE1E67" w:rsidP="00B21B70">
      <w:pPr>
        <w:outlineLvl w:val="0"/>
        <w:rPr>
          <w:rFonts w:asciiTheme="minorHAnsi" w:eastAsia="Times New Roman" w:hAnsiTheme="minorHAnsi" w:cs="Arial"/>
          <w:b/>
          <w:color w:val="C00000"/>
          <w:sz w:val="22"/>
          <w:szCs w:val="22"/>
        </w:rPr>
      </w:pPr>
    </w:p>
    <w:p w14:paraId="019DD165" w14:textId="25853240" w:rsidR="00B21B70" w:rsidRPr="00BE1E67" w:rsidRDefault="00B21B70" w:rsidP="00DC6326">
      <w:pPr>
        <w:jc w:val="both"/>
        <w:outlineLvl w:val="0"/>
        <w:rPr>
          <w:rFonts w:asciiTheme="minorHAnsi" w:eastAsia="Times New Roman" w:hAnsiTheme="minorHAnsi" w:cs="Arial"/>
          <w:b/>
          <w:color w:val="C00000"/>
          <w:sz w:val="22"/>
          <w:szCs w:val="22"/>
        </w:rPr>
      </w:pPr>
      <w:r w:rsidRPr="00BE1E67">
        <w:rPr>
          <w:rFonts w:asciiTheme="minorHAnsi" w:eastAsia="Times New Roman" w:hAnsiTheme="minorHAnsi" w:cs="Arial"/>
          <w:b/>
          <w:color w:val="C00000"/>
          <w:sz w:val="22"/>
          <w:szCs w:val="22"/>
        </w:rPr>
        <w:t>Specific Terms of the Award</w:t>
      </w:r>
    </w:p>
    <w:p w14:paraId="1E76C39E" w14:textId="77777777" w:rsidR="00B21B70" w:rsidRPr="00BE1E67" w:rsidRDefault="00B21B70" w:rsidP="00DC6326">
      <w:pPr>
        <w:jc w:val="both"/>
        <w:rPr>
          <w:rFonts w:asciiTheme="minorHAnsi" w:eastAsia="Times New Roman" w:hAnsiTheme="minorHAnsi" w:cs="Arial"/>
          <w:sz w:val="22"/>
          <w:szCs w:val="22"/>
        </w:rPr>
      </w:pPr>
    </w:p>
    <w:p w14:paraId="70C55576" w14:textId="4B2531E1" w:rsidR="00B21B70" w:rsidRPr="00BE1E67" w:rsidRDefault="00B21B70" w:rsidP="00DC6326">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Each year,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will make available funding for </w:t>
      </w:r>
      <w:r w:rsidR="00EB0E10" w:rsidRPr="00BE1E67">
        <w:rPr>
          <w:rFonts w:asciiTheme="minorHAnsi" w:eastAsia="Times New Roman" w:hAnsiTheme="minorHAnsi" w:cs="Arial"/>
          <w:sz w:val="22"/>
          <w:szCs w:val="22"/>
        </w:rPr>
        <w:t>2</w:t>
      </w:r>
      <w:r w:rsidRPr="00BE1E67">
        <w:rPr>
          <w:rFonts w:asciiTheme="minorHAnsi" w:eastAsia="Times New Roman" w:hAnsiTheme="minorHAnsi" w:cs="Arial"/>
          <w:sz w:val="22"/>
          <w:szCs w:val="22"/>
        </w:rPr>
        <w:t xml:space="preserve"> lab exchanges. Successful applicants will be reimbursed for travel, accommodation and meals for the duration of the exchange. Funding for lab exchanges will be </w:t>
      </w:r>
      <w:r w:rsidR="00EB0E10" w:rsidRPr="00BE1E67">
        <w:rPr>
          <w:rFonts w:asciiTheme="minorHAnsi" w:eastAsia="Times New Roman" w:hAnsiTheme="minorHAnsi" w:cs="Arial"/>
          <w:sz w:val="22"/>
          <w:szCs w:val="22"/>
        </w:rPr>
        <w:t xml:space="preserve">provided </w:t>
      </w:r>
      <w:r w:rsidRPr="00BE1E67">
        <w:rPr>
          <w:rFonts w:asciiTheme="minorHAnsi" w:eastAsia="Times New Roman" w:hAnsiTheme="minorHAnsi" w:cs="Arial"/>
          <w:sz w:val="22"/>
          <w:szCs w:val="22"/>
        </w:rPr>
        <w:t>for a maximum of $3000 per exchange.</w:t>
      </w:r>
    </w:p>
    <w:p w14:paraId="5D6C9144" w14:textId="060C776E" w:rsidR="00B21B70" w:rsidRPr="00BE1E67" w:rsidRDefault="00B21B70" w:rsidP="00DC6326">
      <w:pPr>
        <w:jc w:val="both"/>
        <w:rPr>
          <w:rFonts w:asciiTheme="minorHAnsi" w:eastAsia="Times New Roman" w:hAnsiTheme="minorHAnsi" w:cs="Arial"/>
          <w:sz w:val="22"/>
          <w:szCs w:val="22"/>
        </w:rPr>
      </w:pPr>
    </w:p>
    <w:p w14:paraId="6C0423C7" w14:textId="5C3A240A" w:rsidR="00C455E4" w:rsidRPr="00BE1E67" w:rsidRDefault="00EB0E10" w:rsidP="00DC6326">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Lab exchanges must be completed in the fiscal year that the funding is made available (April – March.)</w:t>
      </w:r>
    </w:p>
    <w:p w14:paraId="4C783B56" w14:textId="77777777" w:rsidR="00C455E4" w:rsidRPr="00BE1E67" w:rsidRDefault="00C455E4" w:rsidP="00DC6326">
      <w:pPr>
        <w:jc w:val="both"/>
        <w:outlineLvl w:val="0"/>
        <w:rPr>
          <w:rFonts w:asciiTheme="minorHAnsi" w:eastAsia="Times New Roman" w:hAnsiTheme="minorHAnsi" w:cs="Arial"/>
          <w:sz w:val="22"/>
          <w:szCs w:val="22"/>
        </w:rPr>
      </w:pPr>
    </w:p>
    <w:p w14:paraId="290DD238" w14:textId="75DD7902" w:rsidR="00B21B70" w:rsidRPr="00BE1E67" w:rsidRDefault="00B21B70" w:rsidP="00DC6326">
      <w:pPr>
        <w:jc w:val="both"/>
        <w:outlineLvl w:val="0"/>
        <w:rPr>
          <w:rFonts w:asciiTheme="minorHAnsi" w:eastAsia="Times New Roman" w:hAnsiTheme="minorHAnsi" w:cs="Arial"/>
          <w:sz w:val="22"/>
          <w:szCs w:val="22"/>
        </w:rPr>
      </w:pPr>
      <w:r w:rsidRPr="00BE1E67">
        <w:rPr>
          <w:rFonts w:asciiTheme="minorHAnsi" w:eastAsia="Times New Roman" w:hAnsiTheme="minorHAnsi" w:cs="Arial"/>
          <w:sz w:val="22"/>
          <w:szCs w:val="22"/>
        </w:rPr>
        <w:t>Reimbursement would be paid out to the candidate directly.</w:t>
      </w:r>
    </w:p>
    <w:p w14:paraId="12467322" w14:textId="77777777" w:rsidR="00B21B70" w:rsidRPr="00BE1E67" w:rsidRDefault="00B21B70" w:rsidP="00DC6326">
      <w:pPr>
        <w:jc w:val="both"/>
        <w:rPr>
          <w:rFonts w:asciiTheme="minorHAnsi" w:eastAsia="Times New Roman" w:hAnsiTheme="minorHAnsi" w:cs="Arial"/>
          <w:sz w:val="22"/>
          <w:szCs w:val="22"/>
        </w:rPr>
      </w:pPr>
    </w:p>
    <w:p w14:paraId="33BB8916" w14:textId="236103FB" w:rsidR="00B21B70" w:rsidRPr="00BE1E67" w:rsidRDefault="00B21B70" w:rsidP="00DC6326">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Awardees must complete a post-exchange report and feedback form in order to be reimbursed by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In order to evaluate the long-term impact of the exchange, successful applicants must also participate in a</w:t>
      </w:r>
      <w:r w:rsidR="00EC1C7D">
        <w:rPr>
          <w:rFonts w:asciiTheme="minorHAnsi" w:eastAsia="Times New Roman" w:hAnsiTheme="minorHAnsi" w:cs="Arial"/>
          <w:sz w:val="22"/>
          <w:szCs w:val="22"/>
        </w:rPr>
        <w:t xml:space="preserve"> </w:t>
      </w:r>
      <w:r w:rsidR="00AD60B0" w:rsidRPr="004F1214">
        <w:rPr>
          <w:rFonts w:asciiTheme="minorHAnsi" w:eastAsia="Times New Roman" w:hAnsiTheme="minorHAnsi" w:cs="Arial"/>
          <w:sz w:val="22"/>
          <w:szCs w:val="22"/>
          <w:highlight w:val="yellow"/>
        </w:rPr>
        <w:t>follow-up</w:t>
      </w:r>
      <w:r w:rsidRPr="00BE1E67">
        <w:rPr>
          <w:rFonts w:asciiTheme="minorHAnsi" w:eastAsia="Times New Roman" w:hAnsiTheme="minorHAnsi" w:cs="Arial"/>
          <w:sz w:val="22"/>
          <w:szCs w:val="22"/>
        </w:rPr>
        <w:t xml:space="preserve"> interview months later with </w:t>
      </w:r>
      <w:proofErr w:type="spellStart"/>
      <w:r w:rsidRPr="00BE1E67">
        <w:rPr>
          <w:rFonts w:asciiTheme="minorHAnsi" w:eastAsia="Times New Roman" w:hAnsiTheme="minorHAnsi" w:cs="Arial"/>
          <w:sz w:val="22"/>
          <w:szCs w:val="22"/>
        </w:rPr>
        <w:t>BioCanRx</w:t>
      </w:r>
      <w:proofErr w:type="spellEnd"/>
      <w:r w:rsidRPr="00BE1E67">
        <w:rPr>
          <w:rFonts w:asciiTheme="minorHAnsi" w:eastAsia="Times New Roman" w:hAnsiTheme="minorHAnsi" w:cs="Arial"/>
          <w:sz w:val="22"/>
          <w:szCs w:val="22"/>
        </w:rPr>
        <w:t xml:space="preserve"> staff.</w:t>
      </w:r>
    </w:p>
    <w:p w14:paraId="3C86F180" w14:textId="77777777" w:rsidR="00B21B70" w:rsidRPr="00BE1E67" w:rsidRDefault="00B21B70" w:rsidP="00DC6326">
      <w:pPr>
        <w:jc w:val="both"/>
        <w:rPr>
          <w:rFonts w:asciiTheme="minorHAnsi" w:eastAsia="Times New Roman" w:hAnsiTheme="minorHAnsi" w:cs="Arial"/>
          <w:sz w:val="22"/>
          <w:szCs w:val="22"/>
        </w:rPr>
      </w:pPr>
    </w:p>
    <w:p w14:paraId="580B0ADE" w14:textId="77777777" w:rsidR="00B21B70" w:rsidRPr="00BE1E67" w:rsidRDefault="00B21B70" w:rsidP="00DC6326">
      <w:pPr>
        <w:jc w:val="both"/>
        <w:outlineLvl w:val="0"/>
        <w:rPr>
          <w:rFonts w:asciiTheme="minorHAnsi" w:eastAsia="Times New Roman" w:hAnsiTheme="minorHAnsi" w:cs="Arial"/>
          <w:b/>
          <w:color w:val="C00000"/>
          <w:sz w:val="22"/>
          <w:szCs w:val="22"/>
        </w:rPr>
      </w:pPr>
      <w:r w:rsidRPr="00BE1E67">
        <w:rPr>
          <w:rFonts w:asciiTheme="minorHAnsi" w:eastAsia="Times New Roman" w:hAnsiTheme="minorHAnsi" w:cs="Arial"/>
          <w:b/>
          <w:color w:val="C00000"/>
          <w:sz w:val="22"/>
          <w:szCs w:val="22"/>
        </w:rPr>
        <w:t>Application Procedure</w:t>
      </w:r>
    </w:p>
    <w:p w14:paraId="3AACD4CB" w14:textId="77777777" w:rsidR="00B21B70" w:rsidRPr="00BE1E67" w:rsidRDefault="00B21B70" w:rsidP="00DC6326">
      <w:pPr>
        <w:jc w:val="both"/>
        <w:rPr>
          <w:rFonts w:asciiTheme="minorHAnsi" w:eastAsia="Times New Roman" w:hAnsiTheme="minorHAnsi" w:cs="Arial"/>
          <w:sz w:val="22"/>
          <w:szCs w:val="22"/>
        </w:rPr>
      </w:pPr>
    </w:p>
    <w:p w14:paraId="136C4A0A" w14:textId="4E1B1128" w:rsidR="00B21B70" w:rsidRPr="00BE1E67" w:rsidRDefault="00B21B70" w:rsidP="00DC6326">
      <w:pPr>
        <w:jc w:val="both"/>
        <w:rPr>
          <w:rFonts w:asciiTheme="minorHAnsi" w:eastAsia="Times New Roman" w:hAnsiTheme="minorHAnsi" w:cs="Arial"/>
          <w:sz w:val="22"/>
          <w:szCs w:val="22"/>
        </w:rPr>
      </w:pPr>
      <w:r w:rsidRPr="00BE1E67">
        <w:rPr>
          <w:rFonts w:asciiTheme="minorHAnsi" w:eastAsia="Times New Roman" w:hAnsiTheme="minorHAnsi" w:cs="Arial"/>
          <w:sz w:val="22"/>
          <w:szCs w:val="22"/>
        </w:rPr>
        <w:t xml:space="preserve">Fill out the application form below with the required documentation and send your application package to </w:t>
      </w:r>
      <w:r w:rsidR="00AD60B0" w:rsidRPr="00EC1C7D">
        <w:rPr>
          <w:rFonts w:asciiTheme="minorHAnsi" w:eastAsia="Times New Roman" w:hAnsiTheme="minorHAnsi" w:cs="Arial"/>
          <w:sz w:val="22"/>
          <w:szCs w:val="22"/>
          <w:highlight w:val="yellow"/>
        </w:rPr>
        <w:t>Sarah Ivanco</w:t>
      </w:r>
      <w:r w:rsidRPr="00EC1C7D">
        <w:rPr>
          <w:rFonts w:asciiTheme="minorHAnsi" w:eastAsia="Times New Roman" w:hAnsiTheme="minorHAnsi" w:cs="Arial"/>
          <w:sz w:val="22"/>
          <w:szCs w:val="22"/>
          <w:highlight w:val="yellow"/>
        </w:rPr>
        <w:t xml:space="preserve"> </w:t>
      </w:r>
      <w:r w:rsidRPr="00EC1C7D">
        <w:rPr>
          <w:rFonts w:asciiTheme="minorHAnsi" w:hAnsiTheme="minorHAnsi"/>
          <w:sz w:val="22"/>
          <w:szCs w:val="22"/>
          <w:highlight w:val="yellow"/>
        </w:rPr>
        <w:t>at</w:t>
      </w:r>
      <w:r w:rsidR="00AD60B0" w:rsidRPr="00EC1C7D">
        <w:rPr>
          <w:rFonts w:asciiTheme="minorHAnsi" w:hAnsiTheme="minorHAnsi"/>
          <w:sz w:val="22"/>
          <w:szCs w:val="22"/>
          <w:highlight w:val="yellow"/>
        </w:rPr>
        <w:t xml:space="preserve"> </w:t>
      </w:r>
      <w:hyperlink r:id="rId9" w:history="1">
        <w:r w:rsidR="00AD60B0" w:rsidRPr="00EC1C7D">
          <w:rPr>
            <w:rStyle w:val="Hyperlink"/>
            <w:rFonts w:asciiTheme="minorHAnsi" w:hAnsiTheme="minorHAnsi"/>
            <w:sz w:val="22"/>
            <w:szCs w:val="22"/>
            <w:highlight w:val="yellow"/>
          </w:rPr>
          <w:t>sivanco@biocanrx.com</w:t>
        </w:r>
      </w:hyperlink>
      <w:r w:rsidR="00AD60B0">
        <w:rPr>
          <w:rFonts w:asciiTheme="minorHAnsi" w:hAnsiTheme="minorHAnsi"/>
          <w:sz w:val="22"/>
          <w:szCs w:val="22"/>
        </w:rPr>
        <w:t xml:space="preserve"> </w:t>
      </w:r>
      <w:r w:rsidRPr="00BE1E67">
        <w:rPr>
          <w:rFonts w:asciiTheme="minorHAnsi" w:eastAsia="Times New Roman" w:hAnsiTheme="minorHAnsi" w:cs="Arial"/>
          <w:sz w:val="22"/>
          <w:szCs w:val="22"/>
        </w:rPr>
        <w:t>by one of the rolling deadlines. Please ensure that application deadlines and award notification dates align with the intended lab exchange dates.</w:t>
      </w:r>
    </w:p>
    <w:p w14:paraId="3C611063" w14:textId="77777777" w:rsidR="00B21B70" w:rsidRPr="00BE1E67" w:rsidRDefault="00B21B70" w:rsidP="00B21B70">
      <w:pPr>
        <w:rPr>
          <w:rFonts w:asciiTheme="minorHAnsi" w:eastAsia="Times New Roman" w:hAnsiTheme="minorHAnsi" w:cs="Arial"/>
          <w:sz w:val="22"/>
          <w:szCs w:val="22"/>
        </w:rPr>
      </w:pPr>
    </w:p>
    <w:p w14:paraId="72BE8CFD" w14:textId="77777777" w:rsidR="00B21B70" w:rsidRPr="00BE1E67" w:rsidRDefault="00B21B70" w:rsidP="00B21B70">
      <w:pPr>
        <w:rPr>
          <w:rFonts w:asciiTheme="minorHAnsi" w:eastAsia="Times New Roman" w:hAnsiTheme="minorHAnsi" w:cs="Arial"/>
          <w:b/>
          <w:bCs/>
          <w:color w:val="C00000"/>
          <w:sz w:val="22"/>
          <w:szCs w:val="22"/>
        </w:rPr>
      </w:pPr>
      <w:r w:rsidRPr="00BE1E67">
        <w:rPr>
          <w:rFonts w:asciiTheme="minorHAnsi" w:eastAsia="Times New Roman" w:hAnsiTheme="minorHAnsi" w:cs="Arial"/>
          <w:b/>
          <w:bCs/>
          <w:color w:val="C00000"/>
          <w:sz w:val="22"/>
          <w:szCs w:val="22"/>
        </w:rPr>
        <w:t>List of Required Documentation:</w:t>
      </w:r>
    </w:p>
    <w:p w14:paraId="1333BCC0" w14:textId="01CE5231" w:rsidR="00B21B70" w:rsidRPr="00BE1E67" w:rsidRDefault="00B21B70" w:rsidP="00B21B70">
      <w:pPr>
        <w:ind w:left="720"/>
        <w:rPr>
          <w:rFonts w:asciiTheme="minorHAnsi" w:eastAsia="Times New Roman" w:hAnsiTheme="minorHAnsi" w:cs="Arial"/>
          <w:sz w:val="22"/>
          <w:szCs w:val="22"/>
        </w:rPr>
      </w:pPr>
      <w:r w:rsidRPr="00BE1E67">
        <w:rPr>
          <w:rFonts w:ascii="Segoe UI Symbol" w:eastAsia="MS Gothic" w:hAnsi="Segoe UI Symbol" w:cs="Segoe UI Symbol"/>
          <w:sz w:val="22"/>
          <w:szCs w:val="22"/>
        </w:rPr>
        <w:t>☐</w:t>
      </w:r>
      <w:r w:rsidRPr="00BE1E67">
        <w:rPr>
          <w:rFonts w:asciiTheme="minorHAnsi" w:eastAsia="Times New Roman" w:hAnsiTheme="minorHAnsi" w:cs="Arial"/>
          <w:sz w:val="22"/>
          <w:szCs w:val="22"/>
        </w:rPr>
        <w:t xml:space="preserve"> </w:t>
      </w:r>
      <w:r w:rsidRPr="00BE1E67">
        <w:rPr>
          <w:rFonts w:asciiTheme="minorHAnsi" w:eastAsia="Times New Roman" w:hAnsiTheme="minorHAnsi" w:cs="Arial"/>
          <w:sz w:val="22"/>
          <w:szCs w:val="22"/>
        </w:rPr>
        <w:tab/>
      </w:r>
      <w:r w:rsidR="00DC6326">
        <w:rPr>
          <w:rFonts w:asciiTheme="minorHAnsi" w:eastAsia="Times New Roman" w:hAnsiTheme="minorHAnsi" w:cs="Arial"/>
          <w:sz w:val="22"/>
          <w:szCs w:val="22"/>
        </w:rPr>
        <w:t xml:space="preserve">Completed HQP </w:t>
      </w:r>
      <w:r w:rsidRPr="00BE1E67">
        <w:rPr>
          <w:rFonts w:asciiTheme="minorHAnsi" w:eastAsia="Times New Roman" w:hAnsiTheme="minorHAnsi" w:cs="Arial"/>
          <w:sz w:val="22"/>
          <w:szCs w:val="22"/>
        </w:rPr>
        <w:t>Lab Exchange Application + Completed Questions A, B and C</w:t>
      </w:r>
    </w:p>
    <w:p w14:paraId="42DCC886" w14:textId="31DAF35D" w:rsidR="00B21B70" w:rsidRPr="00BE1E67" w:rsidRDefault="00B21B70" w:rsidP="00B21B70">
      <w:pPr>
        <w:ind w:left="720"/>
        <w:rPr>
          <w:rFonts w:asciiTheme="minorHAnsi" w:eastAsia="Times New Roman" w:hAnsiTheme="minorHAnsi" w:cs="Arial"/>
          <w:sz w:val="22"/>
          <w:szCs w:val="22"/>
        </w:rPr>
      </w:pPr>
      <w:r w:rsidRPr="00BE1E67">
        <w:rPr>
          <w:rFonts w:ascii="Segoe UI Symbol" w:eastAsia="MS Gothic" w:hAnsi="Segoe UI Symbol" w:cs="Segoe UI Symbol"/>
          <w:sz w:val="22"/>
          <w:szCs w:val="22"/>
        </w:rPr>
        <w:t>☐</w:t>
      </w:r>
      <w:r w:rsidRPr="00BE1E67">
        <w:rPr>
          <w:rFonts w:asciiTheme="minorHAnsi" w:eastAsia="MS Gothic" w:hAnsiTheme="minorHAnsi" w:cs="Arial"/>
          <w:sz w:val="22"/>
          <w:szCs w:val="22"/>
        </w:rPr>
        <w:tab/>
      </w:r>
      <w:r w:rsidRPr="00BE1E67">
        <w:rPr>
          <w:rFonts w:asciiTheme="minorHAnsi" w:eastAsia="Times New Roman" w:hAnsiTheme="minorHAnsi" w:cs="Arial"/>
          <w:sz w:val="22"/>
          <w:szCs w:val="22"/>
        </w:rPr>
        <w:t>Curriculum Vitae</w:t>
      </w:r>
      <w:r w:rsidR="00BE1E67">
        <w:rPr>
          <w:rFonts w:asciiTheme="minorHAnsi" w:eastAsia="Times New Roman" w:hAnsiTheme="minorHAnsi" w:cs="Arial"/>
          <w:sz w:val="22"/>
          <w:szCs w:val="22"/>
        </w:rPr>
        <w:t xml:space="preserve"> (D)</w:t>
      </w:r>
    </w:p>
    <w:p w14:paraId="2B058E0E" w14:textId="1A813C73" w:rsidR="00B21B70" w:rsidRPr="00BE1E67" w:rsidRDefault="00B21B70" w:rsidP="00B21B70">
      <w:pPr>
        <w:ind w:left="720"/>
        <w:rPr>
          <w:rFonts w:asciiTheme="minorHAnsi" w:eastAsia="Times New Roman" w:hAnsiTheme="minorHAnsi" w:cs="Arial"/>
          <w:sz w:val="22"/>
          <w:szCs w:val="22"/>
        </w:rPr>
      </w:pPr>
      <w:r w:rsidRPr="00BE1E67">
        <w:rPr>
          <w:rFonts w:ascii="Segoe UI Symbol" w:eastAsia="MS Gothic" w:hAnsi="Segoe UI Symbol" w:cs="Segoe UI Symbol"/>
          <w:sz w:val="22"/>
          <w:szCs w:val="22"/>
        </w:rPr>
        <w:t>☐</w:t>
      </w:r>
      <w:r w:rsidRPr="00BE1E67">
        <w:rPr>
          <w:rFonts w:asciiTheme="minorHAnsi" w:eastAsia="MS Gothic" w:hAnsiTheme="minorHAnsi" w:cs="Arial"/>
          <w:sz w:val="22"/>
          <w:szCs w:val="22"/>
        </w:rPr>
        <w:tab/>
      </w:r>
      <w:r w:rsidR="00BE1E67">
        <w:rPr>
          <w:rFonts w:asciiTheme="minorHAnsi" w:eastAsia="MS Gothic" w:hAnsiTheme="minorHAnsi" w:cs="Arial"/>
          <w:sz w:val="22"/>
          <w:szCs w:val="22"/>
        </w:rPr>
        <w:t xml:space="preserve">Proposed </w:t>
      </w:r>
      <w:r w:rsidR="00BE1E67">
        <w:rPr>
          <w:rFonts w:asciiTheme="minorHAnsi" w:eastAsia="Times New Roman" w:hAnsiTheme="minorHAnsi" w:cs="Arial"/>
          <w:sz w:val="22"/>
          <w:szCs w:val="22"/>
        </w:rPr>
        <w:t>d</w:t>
      </w:r>
      <w:r w:rsidRPr="00BE1E67">
        <w:rPr>
          <w:rFonts w:asciiTheme="minorHAnsi" w:eastAsia="Times New Roman" w:hAnsiTheme="minorHAnsi" w:cs="Arial"/>
          <w:sz w:val="22"/>
          <w:szCs w:val="22"/>
        </w:rPr>
        <w:t xml:space="preserve">raft </w:t>
      </w:r>
      <w:r w:rsidR="00BE1E67">
        <w:rPr>
          <w:rFonts w:asciiTheme="minorHAnsi" w:eastAsia="Times New Roman" w:hAnsiTheme="minorHAnsi" w:cs="Arial"/>
          <w:sz w:val="22"/>
          <w:szCs w:val="22"/>
        </w:rPr>
        <w:t>b</w:t>
      </w:r>
      <w:r w:rsidRPr="00BE1E67">
        <w:rPr>
          <w:rFonts w:asciiTheme="minorHAnsi" w:eastAsia="Times New Roman" w:hAnsiTheme="minorHAnsi" w:cs="Arial"/>
          <w:sz w:val="22"/>
          <w:szCs w:val="22"/>
        </w:rPr>
        <w:t>udget</w:t>
      </w:r>
      <w:r w:rsidR="00BE1E67">
        <w:rPr>
          <w:rFonts w:asciiTheme="minorHAnsi" w:eastAsia="Times New Roman" w:hAnsiTheme="minorHAnsi" w:cs="Arial"/>
          <w:sz w:val="22"/>
          <w:szCs w:val="22"/>
        </w:rPr>
        <w:t xml:space="preserve"> (E) </w:t>
      </w:r>
    </w:p>
    <w:p w14:paraId="0F276C9B" w14:textId="2508636A" w:rsidR="00B21B70" w:rsidRPr="00BE1E67" w:rsidRDefault="00B21B70" w:rsidP="00B21B70">
      <w:pPr>
        <w:ind w:left="720"/>
        <w:rPr>
          <w:rFonts w:asciiTheme="minorHAnsi" w:eastAsia="Times New Roman" w:hAnsiTheme="minorHAnsi" w:cs="Arial"/>
          <w:sz w:val="22"/>
          <w:szCs w:val="22"/>
        </w:rPr>
      </w:pPr>
      <w:r w:rsidRPr="00BE1E67">
        <w:rPr>
          <w:rFonts w:ascii="Segoe UI Symbol" w:eastAsia="MS Gothic" w:hAnsi="Segoe UI Symbol" w:cs="Segoe UI Symbol"/>
          <w:sz w:val="22"/>
          <w:szCs w:val="22"/>
        </w:rPr>
        <w:t>☐</w:t>
      </w:r>
      <w:r w:rsidRPr="00BE1E67">
        <w:rPr>
          <w:rFonts w:asciiTheme="minorHAnsi" w:eastAsia="MS Gothic" w:hAnsiTheme="minorHAnsi" w:cs="Arial"/>
          <w:sz w:val="22"/>
          <w:szCs w:val="22"/>
        </w:rPr>
        <w:tab/>
      </w:r>
      <w:r w:rsidRPr="00BE1E67">
        <w:rPr>
          <w:rFonts w:asciiTheme="minorHAnsi" w:eastAsia="Times New Roman" w:hAnsiTheme="minorHAnsi" w:cs="Arial"/>
          <w:sz w:val="22"/>
          <w:szCs w:val="22"/>
        </w:rPr>
        <w:t>Letter of Support from Current Supervisor</w:t>
      </w:r>
      <w:r w:rsidR="00BE1E67">
        <w:rPr>
          <w:rFonts w:asciiTheme="minorHAnsi" w:eastAsia="Times New Roman" w:hAnsiTheme="minorHAnsi" w:cs="Arial"/>
          <w:sz w:val="22"/>
          <w:szCs w:val="22"/>
        </w:rPr>
        <w:t xml:space="preserve"> (F) </w:t>
      </w:r>
    </w:p>
    <w:p w14:paraId="767E2EA7" w14:textId="69607030" w:rsidR="00B21B70" w:rsidRPr="00BE1E67" w:rsidRDefault="00B21B70" w:rsidP="00B21B70">
      <w:pPr>
        <w:ind w:left="720"/>
        <w:rPr>
          <w:rFonts w:asciiTheme="minorHAnsi" w:eastAsia="Times New Roman" w:hAnsiTheme="minorHAnsi" w:cs="Arial"/>
          <w:sz w:val="22"/>
          <w:szCs w:val="22"/>
        </w:rPr>
      </w:pPr>
      <w:r w:rsidRPr="00BE1E67">
        <w:rPr>
          <w:rFonts w:ascii="Segoe UI Symbol" w:eastAsia="MS Gothic" w:hAnsi="Segoe UI Symbol" w:cs="Segoe UI Symbol"/>
          <w:sz w:val="22"/>
          <w:szCs w:val="22"/>
        </w:rPr>
        <w:t>☐</w:t>
      </w:r>
      <w:r w:rsidRPr="00BE1E67">
        <w:rPr>
          <w:rFonts w:asciiTheme="minorHAnsi" w:eastAsia="MS Gothic" w:hAnsiTheme="minorHAnsi" w:cs="Arial"/>
          <w:sz w:val="22"/>
          <w:szCs w:val="22"/>
        </w:rPr>
        <w:tab/>
      </w:r>
      <w:r w:rsidRPr="00BE1E67">
        <w:rPr>
          <w:rFonts w:asciiTheme="minorHAnsi" w:eastAsia="Times New Roman" w:hAnsiTheme="minorHAnsi" w:cs="Arial"/>
          <w:sz w:val="22"/>
          <w:szCs w:val="22"/>
        </w:rPr>
        <w:t>Letter of Support from Partnered Supervisor</w:t>
      </w:r>
      <w:r w:rsidR="00BE1E67">
        <w:rPr>
          <w:rFonts w:asciiTheme="minorHAnsi" w:eastAsia="Times New Roman" w:hAnsiTheme="minorHAnsi" w:cs="Arial"/>
          <w:sz w:val="22"/>
          <w:szCs w:val="22"/>
        </w:rPr>
        <w:t xml:space="preserve"> (G) </w:t>
      </w:r>
    </w:p>
    <w:p w14:paraId="5B8E8836" w14:textId="3EBAD75F" w:rsidR="00EB0E10" w:rsidRPr="00BE1E67" w:rsidRDefault="00EB0E10" w:rsidP="009C3799">
      <w:pPr>
        <w:rPr>
          <w:rFonts w:asciiTheme="minorHAnsi" w:eastAsia="Times New Roman" w:hAnsiTheme="minorHAnsi" w:cs="Arial"/>
          <w:b/>
          <w:color w:val="15387F"/>
          <w:sz w:val="22"/>
          <w:szCs w:val="22"/>
        </w:rPr>
      </w:pPr>
    </w:p>
    <w:sectPr w:rsidR="00EB0E10" w:rsidRPr="00BE1E67" w:rsidSect="00B21B70">
      <w:headerReference w:type="default" r:id="rId10"/>
      <w:footerReference w:type="default" r:id="rId11"/>
      <w:pgSz w:w="12240" w:h="15840"/>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6506C" w14:textId="77777777" w:rsidR="00311934" w:rsidRDefault="00311934" w:rsidP="002030C4">
      <w:r>
        <w:separator/>
      </w:r>
    </w:p>
  </w:endnote>
  <w:endnote w:type="continuationSeparator" w:id="0">
    <w:p w14:paraId="299B35B1" w14:textId="77777777" w:rsidR="00311934" w:rsidRDefault="00311934" w:rsidP="0020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EDB8" w14:textId="63D1D08C" w:rsidR="002030C4" w:rsidRPr="002030C4" w:rsidRDefault="002030C4" w:rsidP="002030C4">
    <w:pPr>
      <w:pStyle w:val="Footer"/>
      <w:jc w:val="right"/>
      <w:rPr>
        <w:b/>
        <w:color w:val="153860"/>
        <w:sz w:val="21"/>
        <w:szCs w:val="21"/>
        <w:lang w:val="en-CA"/>
      </w:rPr>
    </w:pPr>
    <w:r w:rsidRPr="002030C4">
      <w:rPr>
        <w:b/>
        <w:color w:val="153860"/>
        <w:sz w:val="21"/>
        <w:szCs w:val="21"/>
      </w:rPr>
      <w:t xml:space="preserve">501 </w:t>
    </w:r>
    <w:proofErr w:type="spellStart"/>
    <w:r w:rsidRPr="002030C4">
      <w:rPr>
        <w:b/>
        <w:color w:val="153860"/>
        <w:sz w:val="21"/>
        <w:szCs w:val="21"/>
      </w:rPr>
      <w:t>ch.</w:t>
    </w:r>
    <w:proofErr w:type="spellEnd"/>
    <w:r w:rsidRPr="002030C4">
      <w:rPr>
        <w:b/>
        <w:color w:val="153860"/>
        <w:sz w:val="21"/>
        <w:szCs w:val="21"/>
      </w:rPr>
      <w:t xml:space="preserve"> Smyth Rd., Box</w:t>
    </w:r>
    <w:r w:rsidRPr="002030C4">
      <w:rPr>
        <w:b/>
        <w:color w:val="153860"/>
        <w:sz w:val="21"/>
        <w:szCs w:val="21"/>
        <w:lang w:val="en-CA"/>
      </w:rPr>
      <w:t>/Bo</w:t>
    </w:r>
    <w:proofErr w:type="spellStart"/>
    <w:r w:rsidRPr="002030C4">
      <w:rPr>
        <w:b/>
        <w:color w:val="153860"/>
        <w:sz w:val="21"/>
        <w:szCs w:val="21"/>
        <w:lang w:val="fr-CA"/>
      </w:rPr>
      <w:t>îte</w:t>
    </w:r>
    <w:proofErr w:type="spellEnd"/>
    <w:r w:rsidRPr="002030C4">
      <w:rPr>
        <w:b/>
        <w:color w:val="153860"/>
        <w:sz w:val="21"/>
        <w:szCs w:val="21"/>
        <w:lang w:val="fr-CA"/>
      </w:rPr>
      <w:t xml:space="preserve"> 611, Ottawa (ON) K1H 8L6 </w:t>
    </w:r>
    <w:r w:rsidRPr="002030C4">
      <w:rPr>
        <w:b/>
        <w:color w:val="153860"/>
        <w:sz w:val="21"/>
        <w:szCs w:val="21"/>
        <w:lang w:val="en-CA"/>
      </w:rPr>
      <w:t xml:space="preserve">| </w:t>
    </w:r>
  </w:p>
  <w:p w14:paraId="3A257486" w14:textId="77777777" w:rsidR="002030C4" w:rsidRPr="002030C4" w:rsidRDefault="002030C4" w:rsidP="002030C4">
    <w:pPr>
      <w:jc w:val="right"/>
      <w:rPr>
        <w:b/>
        <w:color w:val="CC2027"/>
        <w:sz w:val="32"/>
      </w:rPr>
    </w:pPr>
    <w:r w:rsidRPr="002030C4">
      <w:rPr>
        <w:b/>
        <w:color w:val="CC2027"/>
        <w:sz w:val="32"/>
      </w:rPr>
      <w:t>www.biocanrx.com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F4A2" w14:textId="77777777" w:rsidR="00311934" w:rsidRDefault="00311934" w:rsidP="002030C4">
      <w:r>
        <w:separator/>
      </w:r>
    </w:p>
  </w:footnote>
  <w:footnote w:type="continuationSeparator" w:id="0">
    <w:p w14:paraId="6059A5C8" w14:textId="77777777" w:rsidR="00311934" w:rsidRDefault="00311934" w:rsidP="0020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01EB" w14:textId="380C2CB9" w:rsidR="002030C4" w:rsidRPr="002030C4" w:rsidRDefault="000F0C89" w:rsidP="00900BB0">
    <w:pPr>
      <w:pStyle w:val="Header"/>
      <w:jc w:val="right"/>
      <w:rPr>
        <w:lang w:val="fr-CA"/>
      </w:rPr>
    </w:pPr>
    <w:r>
      <w:rPr>
        <w:noProof/>
        <w:lang w:val="fr-CA"/>
      </w:rPr>
      <w:drawing>
        <wp:anchor distT="0" distB="0" distL="114300" distR="114300" simplePos="0" relativeHeight="251658240" behindDoc="0" locked="0" layoutInCell="1" allowOverlap="1" wp14:anchorId="315D2D80" wp14:editId="016214CD">
          <wp:simplePos x="0" y="0"/>
          <wp:positionH relativeFrom="column">
            <wp:posOffset>-528336</wp:posOffset>
          </wp:positionH>
          <wp:positionV relativeFrom="paragraph">
            <wp:posOffset>-137439</wp:posOffset>
          </wp:positionV>
          <wp:extent cx="2200124" cy="877229"/>
          <wp:effectExtent l="0" t="0" r="0" b="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CanRx logo copy.jpg"/>
                  <pic:cNvPicPr/>
                </pic:nvPicPr>
                <pic:blipFill>
                  <a:blip r:embed="rId1">
                    <a:extLst>
                      <a:ext uri="{28A0092B-C50C-407E-A947-70E740481C1C}">
                        <a14:useLocalDpi xmlns:a14="http://schemas.microsoft.com/office/drawing/2010/main" val="0"/>
                      </a:ext>
                    </a:extLst>
                  </a:blip>
                  <a:stretch>
                    <a:fillRect/>
                  </a:stretch>
                </pic:blipFill>
                <pic:spPr>
                  <a:xfrm>
                    <a:off x="0" y="0"/>
                    <a:ext cx="2200124" cy="877229"/>
                  </a:xfrm>
                  <a:prstGeom prst="rect">
                    <a:avLst/>
                  </a:prstGeom>
                </pic:spPr>
              </pic:pic>
            </a:graphicData>
          </a:graphic>
          <wp14:sizeRelH relativeFrom="page">
            <wp14:pctWidth>0</wp14:pctWidth>
          </wp14:sizeRelH>
          <wp14:sizeRelV relativeFrom="page">
            <wp14:pctHeight>0</wp14:pctHeight>
          </wp14:sizeRelV>
        </wp:anchor>
      </w:drawing>
    </w:r>
    <w:r w:rsidR="009B2B03">
      <w:rPr>
        <w:lang w:val="fr-CA"/>
      </w:rPr>
      <w:t>R</w:t>
    </w:r>
    <w:r w:rsidR="00AD60B0">
      <w:rPr>
        <w:lang w:val="fr-CA"/>
      </w:rPr>
      <w:t>2022-04-01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B47"/>
    <w:multiLevelType w:val="hybridMultilevel"/>
    <w:tmpl w:val="37566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F7C57"/>
    <w:multiLevelType w:val="hybridMultilevel"/>
    <w:tmpl w:val="A3E6496C"/>
    <w:lvl w:ilvl="0" w:tplc="813A04AA">
      <w:start w:val="3"/>
      <w:numFmt w:val="bullet"/>
      <w:lvlText w:val="-"/>
      <w:lvlJc w:val="left"/>
      <w:pPr>
        <w:ind w:left="1364" w:hanging="360"/>
      </w:pPr>
      <w:rPr>
        <w:rFonts w:ascii="Helvetica" w:eastAsia="Times New Roman" w:hAnsi="Helvetica" w:cs="Aria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4C2C6A8E"/>
    <w:multiLevelType w:val="hybridMultilevel"/>
    <w:tmpl w:val="A9467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67DD1"/>
    <w:multiLevelType w:val="hybridMultilevel"/>
    <w:tmpl w:val="435C6E86"/>
    <w:lvl w:ilvl="0" w:tplc="813A04AA">
      <w:start w:val="3"/>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C93"/>
    <w:multiLevelType w:val="hybridMultilevel"/>
    <w:tmpl w:val="8758B9C6"/>
    <w:lvl w:ilvl="0" w:tplc="58B0B630">
      <w:start w:val="1"/>
      <w:numFmt w:val="upperLetter"/>
      <w:lvlText w:val="%1."/>
      <w:lvlJc w:val="left"/>
      <w:pPr>
        <w:ind w:left="644" w:hanging="360"/>
      </w:pPr>
      <w:rPr>
        <w:rFonts w:hint="default"/>
        <w:b/>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79546493"/>
    <w:multiLevelType w:val="hybridMultilevel"/>
    <w:tmpl w:val="49EAE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C4"/>
    <w:rsid w:val="000813AF"/>
    <w:rsid w:val="000A58AE"/>
    <w:rsid w:val="000B784B"/>
    <w:rsid w:val="000F0C89"/>
    <w:rsid w:val="001122CF"/>
    <w:rsid w:val="0014143D"/>
    <w:rsid w:val="00154419"/>
    <w:rsid w:val="001F560E"/>
    <w:rsid w:val="002030C4"/>
    <w:rsid w:val="00311934"/>
    <w:rsid w:val="003309DB"/>
    <w:rsid w:val="0033162F"/>
    <w:rsid w:val="00334933"/>
    <w:rsid w:val="003A6477"/>
    <w:rsid w:val="003C1D90"/>
    <w:rsid w:val="00411DBF"/>
    <w:rsid w:val="004358BC"/>
    <w:rsid w:val="004F1214"/>
    <w:rsid w:val="004F2828"/>
    <w:rsid w:val="005601C8"/>
    <w:rsid w:val="005E0509"/>
    <w:rsid w:val="006E07C2"/>
    <w:rsid w:val="006F3019"/>
    <w:rsid w:val="0077542D"/>
    <w:rsid w:val="00801F29"/>
    <w:rsid w:val="0087487C"/>
    <w:rsid w:val="008E4D9E"/>
    <w:rsid w:val="00900BB0"/>
    <w:rsid w:val="00925C8E"/>
    <w:rsid w:val="009768F1"/>
    <w:rsid w:val="009B2B03"/>
    <w:rsid w:val="009B418C"/>
    <w:rsid w:val="009C3799"/>
    <w:rsid w:val="009C6DF8"/>
    <w:rsid w:val="009E0D00"/>
    <w:rsid w:val="00A80971"/>
    <w:rsid w:val="00AD60B0"/>
    <w:rsid w:val="00B21B70"/>
    <w:rsid w:val="00B40B89"/>
    <w:rsid w:val="00BE1E67"/>
    <w:rsid w:val="00C455E4"/>
    <w:rsid w:val="00C664CE"/>
    <w:rsid w:val="00D351D5"/>
    <w:rsid w:val="00D83AE7"/>
    <w:rsid w:val="00DA7673"/>
    <w:rsid w:val="00DC6326"/>
    <w:rsid w:val="00DD674C"/>
    <w:rsid w:val="00E40A98"/>
    <w:rsid w:val="00EB0E10"/>
    <w:rsid w:val="00EC1C7D"/>
    <w:rsid w:val="00EE5500"/>
    <w:rsid w:val="00F2692E"/>
    <w:rsid w:val="00F8033E"/>
    <w:rsid w:val="00F94FCE"/>
    <w:rsid w:val="00FE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7A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1B70"/>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2030C4"/>
  </w:style>
  <w:style w:type="paragraph" w:styleId="Footer">
    <w:name w:val="footer"/>
    <w:basedOn w:val="Normal"/>
    <w:link w:val="FooterChar"/>
    <w:uiPriority w:val="99"/>
    <w:unhideWhenUsed/>
    <w:rsid w:val="002030C4"/>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2030C4"/>
  </w:style>
  <w:style w:type="character" w:styleId="Hyperlink">
    <w:name w:val="Hyperlink"/>
    <w:basedOn w:val="DefaultParagraphFont"/>
    <w:uiPriority w:val="99"/>
    <w:unhideWhenUsed/>
    <w:rsid w:val="002030C4"/>
    <w:rPr>
      <w:color w:val="0563C1" w:themeColor="hyperlink"/>
      <w:u w:val="single"/>
    </w:rPr>
  </w:style>
  <w:style w:type="character" w:styleId="Strong">
    <w:name w:val="Strong"/>
    <w:qFormat/>
    <w:rsid w:val="00B21B70"/>
    <w:rPr>
      <w:b/>
      <w:bCs/>
    </w:rPr>
  </w:style>
  <w:style w:type="table" w:styleId="TableGrid">
    <w:name w:val="Table Grid"/>
    <w:basedOn w:val="TableNormal"/>
    <w:uiPriority w:val="59"/>
    <w:rsid w:val="00B21B70"/>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1B70"/>
    <w:rPr>
      <w:color w:val="954F72" w:themeColor="followedHyperlink"/>
      <w:u w:val="single"/>
    </w:rPr>
  </w:style>
  <w:style w:type="paragraph" w:styleId="BalloonText">
    <w:name w:val="Balloon Text"/>
    <w:basedOn w:val="Normal"/>
    <w:link w:val="BalloonTextChar"/>
    <w:uiPriority w:val="99"/>
    <w:semiHidden/>
    <w:unhideWhenUsed/>
    <w:rsid w:val="009B2B0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2B03"/>
    <w:rPr>
      <w:rFonts w:ascii="Times New Roman" w:eastAsia="Times" w:hAnsi="Times New Roman" w:cs="Times New Roman"/>
      <w:sz w:val="18"/>
      <w:szCs w:val="18"/>
    </w:rPr>
  </w:style>
  <w:style w:type="paragraph" w:styleId="ListParagraph">
    <w:name w:val="List Paragraph"/>
    <w:basedOn w:val="Normal"/>
    <w:uiPriority w:val="34"/>
    <w:qFormat/>
    <w:rsid w:val="00154419"/>
    <w:pPr>
      <w:ind w:left="720"/>
      <w:contextualSpacing/>
    </w:pPr>
  </w:style>
  <w:style w:type="character" w:styleId="UnresolvedMention">
    <w:name w:val="Unresolved Mention"/>
    <w:basedOn w:val="DefaultParagraphFont"/>
    <w:uiPriority w:val="99"/>
    <w:rsid w:val="009C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nco@biocanr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vanc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E0B560-87BF-8540-A2BD-EDA2B283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Ivanco</cp:lastModifiedBy>
  <cp:revision>25</cp:revision>
  <dcterms:created xsi:type="dcterms:W3CDTF">2018-07-19T14:20:00Z</dcterms:created>
  <dcterms:modified xsi:type="dcterms:W3CDTF">2022-04-12T18:10:00Z</dcterms:modified>
</cp:coreProperties>
</file>