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1017" w14:textId="77777777" w:rsidR="00C00FD7" w:rsidRPr="00D23861" w:rsidRDefault="00B8743A" w:rsidP="00C00FD7">
      <w:pPr>
        <w:rPr>
          <w:b/>
          <w:bCs/>
          <w:highlight w:val="yellow"/>
          <w:u w:val="single"/>
          <w:lang w:val="fr-CA"/>
        </w:rPr>
      </w:pPr>
      <w:r w:rsidRPr="00D23861">
        <w:rPr>
          <w:b/>
          <w:bCs/>
          <w:noProof/>
          <w:highlight w:val="yellow"/>
          <w:u w:val="single"/>
          <w:lang w:val="fr-CA" w:eastAsia="fr-CA"/>
        </w:rPr>
        <w:drawing>
          <wp:anchor distT="0" distB="0" distL="114300" distR="114300" simplePos="0" relativeHeight="251659264" behindDoc="1" locked="0" layoutInCell="1" allowOverlap="1" wp14:anchorId="4A69B7D8" wp14:editId="54BEBC60">
            <wp:simplePos x="0" y="0"/>
            <wp:positionH relativeFrom="margin">
              <wp:posOffset>-127000</wp:posOffset>
            </wp:positionH>
            <wp:positionV relativeFrom="margin">
              <wp:posOffset>-533400</wp:posOffset>
            </wp:positionV>
            <wp:extent cx="1962150" cy="799550"/>
            <wp:effectExtent l="0" t="0" r="0" b="635"/>
            <wp:wrapSquare wrapText="bothSides"/>
            <wp:docPr id="2" name="Picture 2" descr="C:\Users\aphenry\Downloads\BioCanRx-En-Fr-2018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henry\Downloads\BioCanRx-En-Fr-2018 (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99550"/>
                    </a:xfrm>
                    <a:prstGeom prst="rect">
                      <a:avLst/>
                    </a:prstGeom>
                    <a:noFill/>
                    <a:ln>
                      <a:noFill/>
                    </a:ln>
                  </pic:spPr>
                </pic:pic>
              </a:graphicData>
            </a:graphic>
          </wp:anchor>
        </w:drawing>
      </w:r>
    </w:p>
    <w:p w14:paraId="6D3C2A34" w14:textId="77777777" w:rsidR="00C00FD7" w:rsidRPr="00D23861" w:rsidRDefault="00C00FD7" w:rsidP="000C217F">
      <w:pPr>
        <w:jc w:val="center"/>
        <w:rPr>
          <w:b/>
          <w:bCs/>
          <w:highlight w:val="yellow"/>
          <w:u w:val="single"/>
          <w:lang w:val="fr-CA"/>
        </w:rPr>
      </w:pPr>
    </w:p>
    <w:p w14:paraId="382C03A7" w14:textId="77777777" w:rsidR="00D23861" w:rsidRPr="00D23861" w:rsidRDefault="00D23861" w:rsidP="00D23861">
      <w:pPr>
        <w:jc w:val="center"/>
        <w:rPr>
          <w:b/>
          <w:bCs/>
          <w:color w:val="FF0000"/>
          <w:sz w:val="28"/>
          <w:szCs w:val="28"/>
          <w:lang w:val="fr-CA"/>
        </w:rPr>
      </w:pPr>
      <w:r w:rsidRPr="00D23861">
        <w:rPr>
          <w:b/>
          <w:bCs/>
          <w:color w:val="FF0000"/>
          <w:sz w:val="28"/>
          <w:szCs w:val="28"/>
          <w:lang w:val="fr-CA"/>
        </w:rPr>
        <w:t>Sous embargo jusqu'au mardi 22 septembre 2020 à 8 heures (</w:t>
      </w:r>
      <w:r w:rsidR="00E71574">
        <w:rPr>
          <w:b/>
          <w:bCs/>
          <w:color w:val="FF0000"/>
          <w:sz w:val="28"/>
          <w:szCs w:val="28"/>
          <w:lang w:val="fr-CA"/>
        </w:rPr>
        <w:t>HE</w:t>
      </w:r>
      <w:r w:rsidRPr="00D23861">
        <w:rPr>
          <w:b/>
          <w:bCs/>
          <w:color w:val="FF0000"/>
          <w:sz w:val="28"/>
          <w:szCs w:val="28"/>
          <w:lang w:val="fr-CA"/>
        </w:rPr>
        <w:t>)</w:t>
      </w:r>
    </w:p>
    <w:p w14:paraId="0B94F3C4" w14:textId="77777777" w:rsidR="00D23861" w:rsidRPr="00D23861" w:rsidRDefault="00D23861" w:rsidP="00D23861">
      <w:pPr>
        <w:jc w:val="center"/>
        <w:rPr>
          <w:b/>
          <w:bCs/>
          <w:color w:val="FF0000"/>
          <w:sz w:val="28"/>
          <w:szCs w:val="28"/>
          <w:lang w:val="fr-CA"/>
        </w:rPr>
      </w:pPr>
    </w:p>
    <w:p w14:paraId="6C584E5D" w14:textId="77777777" w:rsidR="00E71574" w:rsidRPr="00D23861" w:rsidRDefault="00D23861" w:rsidP="00E71574">
      <w:pPr>
        <w:jc w:val="center"/>
        <w:rPr>
          <w:b/>
          <w:bCs/>
          <w:sz w:val="28"/>
          <w:szCs w:val="28"/>
          <w:lang w:val="fr-CA"/>
        </w:rPr>
      </w:pPr>
      <w:r w:rsidRPr="00D23861">
        <w:rPr>
          <w:b/>
          <w:bCs/>
          <w:sz w:val="28"/>
          <w:szCs w:val="28"/>
          <w:lang w:val="fr-CA"/>
        </w:rPr>
        <w:t>BioCanRx investit 10</w:t>
      </w:r>
      <w:r w:rsidR="00E71574">
        <w:rPr>
          <w:b/>
          <w:bCs/>
          <w:sz w:val="28"/>
          <w:szCs w:val="28"/>
          <w:lang w:val="fr-CA"/>
        </w:rPr>
        <w:t> M$</w:t>
      </w:r>
      <w:r w:rsidRPr="00D23861">
        <w:rPr>
          <w:b/>
          <w:bCs/>
          <w:sz w:val="28"/>
          <w:szCs w:val="28"/>
          <w:lang w:val="fr-CA"/>
        </w:rPr>
        <w:t xml:space="preserve"> dans </w:t>
      </w:r>
      <w:r w:rsidR="00E71574">
        <w:rPr>
          <w:b/>
          <w:bCs/>
          <w:sz w:val="28"/>
          <w:szCs w:val="28"/>
          <w:lang w:val="fr-CA"/>
        </w:rPr>
        <w:t xml:space="preserve">la recherche sur </w:t>
      </w:r>
      <w:r w:rsidRPr="00D23861">
        <w:rPr>
          <w:b/>
          <w:bCs/>
          <w:sz w:val="28"/>
          <w:szCs w:val="28"/>
          <w:lang w:val="fr-CA"/>
        </w:rPr>
        <w:t>une nouvelle immunothérapie prometteuse contre le cancer</w:t>
      </w:r>
      <w:r w:rsidR="00E71574">
        <w:rPr>
          <w:b/>
          <w:bCs/>
          <w:sz w:val="28"/>
          <w:szCs w:val="28"/>
          <w:lang w:val="fr-CA"/>
        </w:rPr>
        <w:t xml:space="preserve"> et dans </w:t>
      </w:r>
    </w:p>
    <w:p w14:paraId="12C32D6A" w14:textId="77777777" w:rsidR="00D23861" w:rsidRPr="00D23861" w:rsidRDefault="00D23861" w:rsidP="00D23861">
      <w:pPr>
        <w:jc w:val="center"/>
        <w:rPr>
          <w:b/>
          <w:bCs/>
          <w:sz w:val="28"/>
          <w:szCs w:val="28"/>
          <w:lang w:val="fr-CA"/>
        </w:rPr>
      </w:pPr>
      <w:proofErr w:type="gramStart"/>
      <w:r w:rsidRPr="00D23861">
        <w:rPr>
          <w:b/>
          <w:bCs/>
          <w:sz w:val="28"/>
          <w:szCs w:val="28"/>
          <w:lang w:val="fr-CA"/>
        </w:rPr>
        <w:t>la</w:t>
      </w:r>
      <w:proofErr w:type="gramEnd"/>
      <w:r w:rsidRPr="00D23861">
        <w:rPr>
          <w:b/>
          <w:bCs/>
          <w:sz w:val="28"/>
          <w:szCs w:val="28"/>
          <w:lang w:val="fr-CA"/>
        </w:rPr>
        <w:t xml:space="preserve"> </w:t>
      </w:r>
      <w:proofErr w:type="spellStart"/>
      <w:r w:rsidRPr="00D23861">
        <w:rPr>
          <w:b/>
          <w:bCs/>
          <w:sz w:val="28"/>
          <w:szCs w:val="28"/>
          <w:lang w:val="fr-CA"/>
        </w:rPr>
        <w:t>biofabrication</w:t>
      </w:r>
      <w:proofErr w:type="spellEnd"/>
      <w:r w:rsidR="00782415">
        <w:rPr>
          <w:b/>
          <w:bCs/>
          <w:sz w:val="28"/>
          <w:szCs w:val="28"/>
          <w:lang w:val="fr-CA"/>
        </w:rPr>
        <w:t>,</w:t>
      </w:r>
      <w:r w:rsidRPr="00D23861">
        <w:rPr>
          <w:b/>
          <w:bCs/>
          <w:sz w:val="28"/>
          <w:szCs w:val="28"/>
          <w:lang w:val="fr-CA"/>
        </w:rPr>
        <w:t xml:space="preserve"> </w:t>
      </w:r>
      <w:r w:rsidR="00E71574">
        <w:rPr>
          <w:b/>
          <w:bCs/>
          <w:sz w:val="28"/>
          <w:szCs w:val="28"/>
          <w:lang w:val="fr-CA"/>
        </w:rPr>
        <w:t xml:space="preserve">pour le mieux-être </w:t>
      </w:r>
      <w:r w:rsidRPr="00D23861">
        <w:rPr>
          <w:b/>
          <w:bCs/>
          <w:sz w:val="28"/>
          <w:szCs w:val="28"/>
          <w:lang w:val="fr-CA"/>
        </w:rPr>
        <w:t>des Canadiens</w:t>
      </w:r>
      <w:r w:rsidR="00E71574">
        <w:rPr>
          <w:b/>
          <w:bCs/>
          <w:sz w:val="28"/>
          <w:szCs w:val="28"/>
          <w:lang w:val="fr-CA"/>
        </w:rPr>
        <w:t>.</w:t>
      </w:r>
    </w:p>
    <w:p w14:paraId="64B1F713" w14:textId="77777777" w:rsidR="00D23861" w:rsidRPr="00D23861" w:rsidRDefault="00D23861" w:rsidP="00D23861">
      <w:pPr>
        <w:jc w:val="center"/>
        <w:rPr>
          <w:b/>
          <w:bCs/>
          <w:sz w:val="28"/>
          <w:szCs w:val="28"/>
          <w:lang w:val="fr-CA"/>
        </w:rPr>
      </w:pPr>
    </w:p>
    <w:p w14:paraId="1A607D41" w14:textId="77777777" w:rsidR="00D23861" w:rsidRPr="00E71574" w:rsidRDefault="00D23861" w:rsidP="00D23861">
      <w:pPr>
        <w:jc w:val="center"/>
        <w:rPr>
          <w:b/>
          <w:bCs/>
          <w:color w:val="FF0000"/>
          <w:lang w:val="fr-CA"/>
        </w:rPr>
      </w:pPr>
      <w:r w:rsidRPr="00E71574">
        <w:rPr>
          <w:b/>
          <w:bCs/>
          <w:lang w:val="fr-CA"/>
        </w:rPr>
        <w:t xml:space="preserve">Le financement </w:t>
      </w:r>
      <w:r w:rsidR="00E71574">
        <w:rPr>
          <w:b/>
          <w:bCs/>
          <w:lang w:val="fr-CA"/>
        </w:rPr>
        <w:t>fera</w:t>
      </w:r>
      <w:r w:rsidRPr="00E71574">
        <w:rPr>
          <w:b/>
          <w:bCs/>
          <w:lang w:val="fr-CA"/>
        </w:rPr>
        <w:t xml:space="preserve"> passer les nouvelles technologies </w:t>
      </w:r>
      <w:r w:rsidR="00E71574">
        <w:rPr>
          <w:b/>
          <w:bCs/>
          <w:lang w:val="fr-CA"/>
        </w:rPr>
        <w:t xml:space="preserve">de la lutte </w:t>
      </w:r>
      <w:r w:rsidRPr="00E71574">
        <w:rPr>
          <w:b/>
          <w:bCs/>
          <w:lang w:val="fr-CA"/>
        </w:rPr>
        <w:t>contre le cancer du laboratoire à la clinique</w:t>
      </w:r>
      <w:r w:rsidR="00E71574">
        <w:rPr>
          <w:b/>
          <w:bCs/>
          <w:lang w:val="fr-CA"/>
        </w:rPr>
        <w:t>.</w:t>
      </w:r>
    </w:p>
    <w:p w14:paraId="02B1E8EE" w14:textId="77777777" w:rsidR="009540F4" w:rsidRPr="00D23861" w:rsidRDefault="009540F4" w:rsidP="009540F4">
      <w:pPr>
        <w:rPr>
          <w:b/>
          <w:bCs/>
          <w:lang w:val="fr-CA"/>
        </w:rPr>
      </w:pPr>
    </w:p>
    <w:p w14:paraId="7E419C6B" w14:textId="5BA75A09" w:rsidR="00D23861" w:rsidRPr="00D23861" w:rsidRDefault="00D23861" w:rsidP="00D23861">
      <w:pPr>
        <w:rPr>
          <w:lang w:val="fr-CA"/>
        </w:rPr>
      </w:pPr>
      <w:r w:rsidRPr="00D23861">
        <w:rPr>
          <w:b/>
          <w:bCs/>
          <w:lang w:val="fr-CA"/>
        </w:rPr>
        <w:t>OTTAWA, ON (mardi 22 septembre 2020, 8 h</w:t>
      </w:r>
      <w:r w:rsidR="00E71574">
        <w:rPr>
          <w:b/>
          <w:bCs/>
          <w:lang w:val="fr-CA"/>
        </w:rPr>
        <w:t>,</w:t>
      </w:r>
      <w:r w:rsidRPr="00D23861">
        <w:rPr>
          <w:b/>
          <w:bCs/>
          <w:lang w:val="fr-CA"/>
        </w:rPr>
        <w:t xml:space="preserve"> HE)</w:t>
      </w:r>
      <w:r w:rsidR="005C2375" w:rsidRPr="00D23861">
        <w:rPr>
          <w:b/>
          <w:bCs/>
          <w:lang w:val="fr-CA"/>
        </w:rPr>
        <w:t xml:space="preserve"> </w:t>
      </w:r>
      <w:r w:rsidR="00E71574">
        <w:rPr>
          <w:b/>
          <w:bCs/>
          <w:lang w:val="fr-CA"/>
        </w:rPr>
        <w:t>–</w:t>
      </w:r>
      <w:r w:rsidR="005C2375" w:rsidRPr="00D23861">
        <w:rPr>
          <w:b/>
          <w:bCs/>
          <w:lang w:val="fr-CA"/>
        </w:rPr>
        <w:t xml:space="preserve"> </w:t>
      </w:r>
      <w:r w:rsidRPr="00D23861">
        <w:rPr>
          <w:lang w:val="fr-CA"/>
        </w:rPr>
        <w:t xml:space="preserve">BioCanRx, le </w:t>
      </w:r>
      <w:r w:rsidR="00E71574">
        <w:rPr>
          <w:lang w:val="fr-CA"/>
        </w:rPr>
        <w:t>R</w:t>
      </w:r>
      <w:r w:rsidRPr="00D23861">
        <w:rPr>
          <w:lang w:val="fr-CA"/>
        </w:rPr>
        <w:t xml:space="preserve">éseau canadien d'immunothérapie, a annoncé aujourd'hui </w:t>
      </w:r>
      <w:r w:rsidR="00E71574">
        <w:rPr>
          <w:lang w:val="fr-CA"/>
        </w:rPr>
        <w:t xml:space="preserve">que des fonds de </w:t>
      </w:r>
      <w:r w:rsidRPr="00D23861">
        <w:rPr>
          <w:lang w:val="fr-CA"/>
        </w:rPr>
        <w:t>10</w:t>
      </w:r>
      <w:r w:rsidR="00E71574">
        <w:rPr>
          <w:lang w:val="fr-CA"/>
        </w:rPr>
        <w:t> M$</w:t>
      </w:r>
      <w:r w:rsidRPr="00D23861">
        <w:rPr>
          <w:lang w:val="fr-CA"/>
        </w:rPr>
        <w:t xml:space="preserve"> </w:t>
      </w:r>
      <w:r w:rsidR="00E71574">
        <w:rPr>
          <w:lang w:val="fr-CA"/>
        </w:rPr>
        <w:t>seraient versés à</w:t>
      </w:r>
      <w:r w:rsidRPr="00D23861">
        <w:rPr>
          <w:lang w:val="fr-CA"/>
        </w:rPr>
        <w:t xml:space="preserve"> </w:t>
      </w:r>
      <w:hyperlink r:id="rId8" w:history="1">
        <w:r w:rsidRPr="003F4619">
          <w:rPr>
            <w:rStyle w:val="Hyperlink"/>
            <w:lang w:val="fr-CA"/>
          </w:rPr>
          <w:t>14</w:t>
        </w:r>
        <w:r w:rsidR="00E71574" w:rsidRPr="003F4619">
          <w:rPr>
            <w:rStyle w:val="Hyperlink"/>
            <w:lang w:val="fr-CA"/>
          </w:rPr>
          <w:t> </w:t>
        </w:r>
        <w:r w:rsidRPr="003F4619">
          <w:rPr>
            <w:rStyle w:val="Hyperlink"/>
            <w:lang w:val="fr-CA"/>
          </w:rPr>
          <w:t>p</w:t>
        </w:r>
        <w:r w:rsidRPr="003F4619">
          <w:rPr>
            <w:rStyle w:val="Hyperlink"/>
            <w:lang w:val="fr-CA"/>
          </w:rPr>
          <w:t>r</w:t>
        </w:r>
        <w:r w:rsidRPr="003F4619">
          <w:rPr>
            <w:rStyle w:val="Hyperlink"/>
            <w:lang w:val="fr-CA"/>
          </w:rPr>
          <w:t>ojets de recherche sur l'immunothérapie du cancer</w:t>
        </w:r>
      </w:hyperlink>
      <w:r w:rsidRPr="00D23861">
        <w:rPr>
          <w:lang w:val="fr-CA"/>
        </w:rPr>
        <w:t xml:space="preserve"> et </w:t>
      </w:r>
      <w:r w:rsidR="00E71574">
        <w:rPr>
          <w:lang w:val="fr-CA"/>
        </w:rPr>
        <w:t xml:space="preserve">à </w:t>
      </w:r>
      <w:r w:rsidRPr="00D23861">
        <w:rPr>
          <w:lang w:val="fr-CA"/>
        </w:rPr>
        <w:t xml:space="preserve">huit installations </w:t>
      </w:r>
      <w:r w:rsidR="00E71574">
        <w:rPr>
          <w:lang w:val="fr-CA"/>
        </w:rPr>
        <w:t xml:space="preserve">principales </w:t>
      </w:r>
      <w:r w:rsidRPr="00D23861">
        <w:rPr>
          <w:lang w:val="fr-CA"/>
        </w:rPr>
        <w:t xml:space="preserve">et de </w:t>
      </w:r>
      <w:proofErr w:type="spellStart"/>
      <w:r w:rsidRPr="00D23861">
        <w:rPr>
          <w:lang w:val="fr-CA"/>
        </w:rPr>
        <w:t>biofabrication</w:t>
      </w:r>
      <w:proofErr w:type="spellEnd"/>
      <w:r w:rsidRPr="00D23861">
        <w:rPr>
          <w:lang w:val="fr-CA"/>
        </w:rPr>
        <w:t xml:space="preserve">. </w:t>
      </w:r>
      <w:r w:rsidR="00E71574">
        <w:rPr>
          <w:lang w:val="fr-CA"/>
        </w:rPr>
        <w:t xml:space="preserve">Outre </w:t>
      </w:r>
      <w:r w:rsidRPr="00D23861">
        <w:rPr>
          <w:lang w:val="fr-CA"/>
        </w:rPr>
        <w:t>l'investissement de BioCanRx, les contributions de contrepartie des partenaires de 16,5</w:t>
      </w:r>
      <w:r w:rsidR="00E71574">
        <w:rPr>
          <w:lang w:val="fr-CA"/>
        </w:rPr>
        <w:t> M$</w:t>
      </w:r>
      <w:r w:rsidRPr="00D23861">
        <w:rPr>
          <w:lang w:val="fr-CA"/>
        </w:rPr>
        <w:t xml:space="preserve"> portent à 26,5</w:t>
      </w:r>
      <w:r w:rsidR="00E71574">
        <w:rPr>
          <w:lang w:val="fr-CA"/>
        </w:rPr>
        <w:t> M$</w:t>
      </w:r>
      <w:r w:rsidRPr="00D23861">
        <w:rPr>
          <w:lang w:val="fr-CA"/>
        </w:rPr>
        <w:t xml:space="preserve"> l'investissement total dans les installations canadiennes </w:t>
      </w:r>
      <w:r w:rsidR="00782415">
        <w:rPr>
          <w:lang w:val="fr-CA"/>
        </w:rPr>
        <w:t xml:space="preserve">de fabrication et </w:t>
      </w:r>
      <w:r w:rsidRPr="00D23861">
        <w:rPr>
          <w:lang w:val="fr-CA"/>
        </w:rPr>
        <w:t>de recherche translationnelle en immunothérapie contre le cancer.</w:t>
      </w:r>
    </w:p>
    <w:p w14:paraId="361AAA49" w14:textId="77777777" w:rsidR="00D23861" w:rsidRPr="00D23861" w:rsidRDefault="00D23861" w:rsidP="00D23861">
      <w:pPr>
        <w:rPr>
          <w:lang w:val="fr-CA"/>
        </w:rPr>
      </w:pPr>
    </w:p>
    <w:p w14:paraId="38039533" w14:textId="77777777" w:rsidR="00D23861" w:rsidRPr="00D23861" w:rsidRDefault="00D23861" w:rsidP="00D23861">
      <w:pPr>
        <w:rPr>
          <w:lang w:val="fr-CA"/>
        </w:rPr>
      </w:pPr>
      <w:r w:rsidRPr="00D23861">
        <w:rPr>
          <w:lang w:val="fr-CA"/>
        </w:rPr>
        <w:t xml:space="preserve">Le cancer est l'un des plus grands défis de santé auxquels les Canadiens sont confrontés. Près d'un Canadien sur deux devrait </w:t>
      </w:r>
      <w:r w:rsidR="00E71574">
        <w:rPr>
          <w:lang w:val="fr-CA"/>
        </w:rPr>
        <w:t>souffrir d’</w:t>
      </w:r>
      <w:r w:rsidRPr="00D23861">
        <w:rPr>
          <w:lang w:val="fr-CA"/>
        </w:rPr>
        <w:t xml:space="preserve">un cancer au cours de sa vie. BioCanRx s'efforce de renverser </w:t>
      </w:r>
      <w:r w:rsidR="00782415">
        <w:rPr>
          <w:lang w:val="fr-CA"/>
        </w:rPr>
        <w:t>cette</w:t>
      </w:r>
      <w:r w:rsidRPr="00D23861">
        <w:rPr>
          <w:lang w:val="fr-CA"/>
        </w:rPr>
        <w:t xml:space="preserve"> tendance et d'améliorer les résultats pour les patients en accélérant le développement de traitements d'immunothérapie prometteurs qui pourraient être plus efficaces, abordables et sûrs que les thérapies anticancéreuses classiques.</w:t>
      </w:r>
    </w:p>
    <w:p w14:paraId="7C7FA7D4" w14:textId="77777777" w:rsidR="00E91F11" w:rsidRPr="00D23861" w:rsidRDefault="00E91F11" w:rsidP="00E91F11">
      <w:pPr>
        <w:rPr>
          <w:lang w:val="fr-CA"/>
        </w:rPr>
      </w:pPr>
    </w:p>
    <w:p w14:paraId="48567C35" w14:textId="77777777" w:rsidR="00D23861" w:rsidRPr="00D23861" w:rsidRDefault="00E71574" w:rsidP="00D23861">
      <w:pPr>
        <w:rPr>
          <w:lang w:val="fr-CA"/>
        </w:rPr>
      </w:pPr>
      <w:r>
        <w:rPr>
          <w:lang w:val="fr-CA"/>
        </w:rPr>
        <w:t>« </w:t>
      </w:r>
      <w:r w:rsidR="00D23861" w:rsidRPr="00D23861">
        <w:rPr>
          <w:lang w:val="fr-CA"/>
        </w:rPr>
        <w:t xml:space="preserve">Nous collaborons et formons des équipes dans tout le Canada pour trouver de nouvelles façons </w:t>
      </w:r>
      <w:r>
        <w:rPr>
          <w:lang w:val="fr-CA"/>
        </w:rPr>
        <w:t xml:space="preserve">permettant au </w:t>
      </w:r>
      <w:r w:rsidR="00D23861" w:rsidRPr="00D23861">
        <w:rPr>
          <w:lang w:val="fr-CA"/>
        </w:rPr>
        <w:t xml:space="preserve">système immunitaire du corps de déjouer et de tuer le cancer. Ce nouveau financement contribue à combler le fossé de la recherche entre les découvertes </w:t>
      </w:r>
      <w:r w:rsidR="00782415">
        <w:rPr>
          <w:lang w:val="fr-CA"/>
        </w:rPr>
        <w:t>en</w:t>
      </w:r>
      <w:r w:rsidR="00D23861" w:rsidRPr="00D23861">
        <w:rPr>
          <w:lang w:val="fr-CA"/>
        </w:rPr>
        <w:t xml:space="preserve"> laboratoire et les essais cliniques, </w:t>
      </w:r>
      <w:r>
        <w:rPr>
          <w:lang w:val="fr-CA"/>
        </w:rPr>
        <w:t xml:space="preserve">et ce, </w:t>
      </w:r>
      <w:r w:rsidR="00782415">
        <w:rPr>
          <w:lang w:val="fr-CA"/>
        </w:rPr>
        <w:t>pour le mieux-être</w:t>
      </w:r>
      <w:r>
        <w:rPr>
          <w:lang w:val="fr-CA"/>
        </w:rPr>
        <w:t xml:space="preserve"> </w:t>
      </w:r>
      <w:r w:rsidR="00D23861" w:rsidRPr="00D23861">
        <w:rPr>
          <w:lang w:val="fr-CA"/>
        </w:rPr>
        <w:t>des patients</w:t>
      </w:r>
      <w:r>
        <w:rPr>
          <w:lang w:val="fr-CA"/>
        </w:rPr>
        <w:t> »</w:t>
      </w:r>
      <w:r w:rsidR="00D23861" w:rsidRPr="00D23861">
        <w:rPr>
          <w:lang w:val="fr-CA"/>
        </w:rPr>
        <w:t xml:space="preserve">, </w:t>
      </w:r>
      <w:r w:rsidR="00782415">
        <w:rPr>
          <w:lang w:val="fr-CA"/>
        </w:rPr>
        <w:t>explique</w:t>
      </w:r>
      <w:r w:rsidR="00D23861" w:rsidRPr="00D23861">
        <w:rPr>
          <w:lang w:val="fr-CA"/>
        </w:rPr>
        <w:t xml:space="preserve"> le Dr</w:t>
      </w:r>
      <w:r>
        <w:rPr>
          <w:lang w:val="fr-CA"/>
        </w:rPr>
        <w:t> </w:t>
      </w:r>
      <w:r w:rsidR="00D23861" w:rsidRPr="00D23861">
        <w:rPr>
          <w:lang w:val="fr-CA"/>
        </w:rPr>
        <w:t xml:space="preserve">John Bell, directeur scientifique de BioCanRx et scientifique principal </w:t>
      </w:r>
      <w:r w:rsidR="00BF2B38">
        <w:rPr>
          <w:lang w:val="fr-CA"/>
        </w:rPr>
        <w:t>en recherche sur le cancer à</w:t>
      </w:r>
      <w:r w:rsidR="00D23861" w:rsidRPr="00D23861">
        <w:rPr>
          <w:lang w:val="fr-CA"/>
        </w:rPr>
        <w:t xml:space="preserve"> l'Hôpital d'Ottawa</w:t>
      </w:r>
      <w:r w:rsidR="00BF2B38">
        <w:rPr>
          <w:lang w:val="fr-CA"/>
        </w:rPr>
        <w:t xml:space="preserve"> et à l’Université d’Ottawa</w:t>
      </w:r>
      <w:r w:rsidR="00D23861" w:rsidRPr="00D23861">
        <w:rPr>
          <w:lang w:val="fr-CA"/>
        </w:rPr>
        <w:t xml:space="preserve">. </w:t>
      </w:r>
    </w:p>
    <w:p w14:paraId="38E7D166" w14:textId="77777777" w:rsidR="00D23861" w:rsidRPr="00D23861" w:rsidRDefault="00D23861" w:rsidP="00D23861">
      <w:pPr>
        <w:rPr>
          <w:lang w:val="fr-CA"/>
        </w:rPr>
      </w:pPr>
    </w:p>
    <w:p w14:paraId="30590F38" w14:textId="77777777" w:rsidR="00D23861" w:rsidRPr="00D23861" w:rsidRDefault="00D23861" w:rsidP="00D23861">
      <w:pPr>
        <w:rPr>
          <w:lang w:val="fr-CA"/>
        </w:rPr>
      </w:pPr>
      <w:r w:rsidRPr="00D23861">
        <w:rPr>
          <w:lang w:val="fr-CA"/>
        </w:rPr>
        <w:t xml:space="preserve">Les investissements de BioCanRx dans le développement de nouvelles thérapies continuent d'être guidés et évalués par son </w:t>
      </w:r>
      <w:r w:rsidR="00E71574">
        <w:rPr>
          <w:lang w:val="fr-CA"/>
        </w:rPr>
        <w:t>C</w:t>
      </w:r>
      <w:r w:rsidRPr="00D23861">
        <w:rPr>
          <w:lang w:val="fr-CA"/>
        </w:rPr>
        <w:t xml:space="preserve">omité de gestion de la recherche, </w:t>
      </w:r>
      <w:r w:rsidR="00E71574">
        <w:rPr>
          <w:lang w:val="fr-CA"/>
        </w:rPr>
        <w:t xml:space="preserve">qui est </w:t>
      </w:r>
      <w:r w:rsidRPr="00D23861">
        <w:rPr>
          <w:lang w:val="fr-CA"/>
        </w:rPr>
        <w:t xml:space="preserve">composé d'universitaires de renommée internationale et de </w:t>
      </w:r>
      <w:r w:rsidR="00E71574">
        <w:rPr>
          <w:lang w:val="fr-CA"/>
        </w:rPr>
        <w:t>chefs de file</w:t>
      </w:r>
      <w:r w:rsidRPr="00D23861">
        <w:rPr>
          <w:lang w:val="fr-CA"/>
        </w:rPr>
        <w:t xml:space="preserve"> de l'industrie dans le domaine de l'immunothérapie du cancer. Les projets nouvellement financés portent sur des approches très innovantes et inédites du traitement du cancer </w:t>
      </w:r>
      <w:r w:rsidR="00E71574">
        <w:rPr>
          <w:lang w:val="fr-CA"/>
        </w:rPr>
        <w:t xml:space="preserve">et </w:t>
      </w:r>
      <w:r w:rsidRPr="00D23861">
        <w:rPr>
          <w:lang w:val="fr-CA"/>
        </w:rPr>
        <w:t>cibl</w:t>
      </w:r>
      <w:r w:rsidR="00E71574">
        <w:rPr>
          <w:lang w:val="fr-CA"/>
        </w:rPr>
        <w:t>e</w:t>
      </w:r>
      <w:r w:rsidRPr="00D23861">
        <w:rPr>
          <w:lang w:val="fr-CA"/>
        </w:rPr>
        <w:t xml:space="preserve">nt les cancers difficiles à traiter pour lesquels les options actuelles sont limitées. Le portefeuille d'investissement des projets comprend des équipes interdisciplinaires de </w:t>
      </w:r>
      <w:r w:rsidR="00E71574">
        <w:rPr>
          <w:lang w:val="fr-CA"/>
        </w:rPr>
        <w:t>différentes régions du pays</w:t>
      </w:r>
      <w:r w:rsidRPr="00D23861">
        <w:rPr>
          <w:lang w:val="fr-CA"/>
        </w:rPr>
        <w:t xml:space="preserve"> qui travaillent </w:t>
      </w:r>
      <w:r w:rsidR="00E71574">
        <w:rPr>
          <w:lang w:val="fr-CA"/>
        </w:rPr>
        <w:t xml:space="preserve">à la conception </w:t>
      </w:r>
      <w:r w:rsidRPr="00D23861">
        <w:rPr>
          <w:lang w:val="fr-CA"/>
        </w:rPr>
        <w:t xml:space="preserve">de nouvelles approches rationnelles combinées et </w:t>
      </w:r>
      <w:r w:rsidR="00E71574">
        <w:rPr>
          <w:lang w:val="fr-CA"/>
        </w:rPr>
        <w:t>d’</w:t>
      </w:r>
      <w:r w:rsidRPr="00D23861">
        <w:rPr>
          <w:lang w:val="fr-CA"/>
        </w:rPr>
        <w:t>immunothérapies à base de cellules</w:t>
      </w:r>
      <w:r w:rsidR="00E71574">
        <w:rPr>
          <w:lang w:val="fr-CA"/>
        </w:rPr>
        <w:t xml:space="preserve"> uniques</w:t>
      </w:r>
      <w:r w:rsidRPr="00D23861">
        <w:rPr>
          <w:lang w:val="fr-CA"/>
        </w:rPr>
        <w:t xml:space="preserve">, de vaccins, de virus et d'anticorps. Les investissements </w:t>
      </w:r>
      <w:r w:rsidR="00E71574">
        <w:rPr>
          <w:lang w:val="fr-CA"/>
        </w:rPr>
        <w:t>consacrés à</w:t>
      </w:r>
      <w:r w:rsidRPr="00D23861">
        <w:rPr>
          <w:lang w:val="fr-CA"/>
        </w:rPr>
        <w:t xml:space="preserve"> la capacité de </w:t>
      </w:r>
      <w:proofErr w:type="spellStart"/>
      <w:r w:rsidRPr="00D23861">
        <w:rPr>
          <w:lang w:val="fr-CA"/>
        </w:rPr>
        <w:t>biofabrication</w:t>
      </w:r>
      <w:proofErr w:type="spellEnd"/>
      <w:r w:rsidRPr="00D23861">
        <w:rPr>
          <w:lang w:val="fr-CA"/>
        </w:rPr>
        <w:t xml:space="preserve"> du Canada sont également très importants</w:t>
      </w:r>
      <w:r w:rsidR="00E71574">
        <w:rPr>
          <w:lang w:val="fr-CA"/>
        </w:rPr>
        <w:t>,</w:t>
      </w:r>
      <w:r w:rsidRPr="00D23861">
        <w:rPr>
          <w:lang w:val="fr-CA"/>
        </w:rPr>
        <w:t xml:space="preserve"> et d'autres </w:t>
      </w:r>
      <w:r w:rsidR="00E71574">
        <w:rPr>
          <w:lang w:val="fr-CA"/>
        </w:rPr>
        <w:t>emplacements</w:t>
      </w:r>
      <w:r w:rsidRPr="00D23861">
        <w:rPr>
          <w:lang w:val="fr-CA"/>
        </w:rPr>
        <w:t xml:space="preserve"> seront </w:t>
      </w:r>
      <w:r w:rsidRPr="00D23861">
        <w:rPr>
          <w:lang w:val="fr-CA"/>
        </w:rPr>
        <w:lastRenderedPageBreak/>
        <w:t>ajoutés à notre réseau de fabrication de cellules au point de service afin d'améliorer l'accès des patients à des thérapies vitales dans tout le pays.</w:t>
      </w:r>
    </w:p>
    <w:p w14:paraId="63A9B706" w14:textId="77777777" w:rsidR="00D23861" w:rsidRPr="00D23861" w:rsidRDefault="00D23861" w:rsidP="00D23861">
      <w:pPr>
        <w:rPr>
          <w:lang w:val="fr-CA"/>
        </w:rPr>
      </w:pPr>
    </w:p>
    <w:p w14:paraId="00DF5FAA" w14:textId="4D655309" w:rsidR="00D23861" w:rsidRPr="00D23861" w:rsidRDefault="003F4619" w:rsidP="00D23861">
      <w:pPr>
        <w:rPr>
          <w:lang w:val="fr-CA"/>
        </w:rPr>
      </w:pPr>
      <w:hyperlink r:id="rId9" w:history="1">
        <w:r w:rsidR="00D23861" w:rsidRPr="003F4619">
          <w:rPr>
            <w:rStyle w:val="Hyperlink"/>
            <w:lang w:val="fr-CA"/>
          </w:rPr>
          <w:t>Liste complète des projets de rech</w:t>
        </w:r>
        <w:r w:rsidR="00D23861" w:rsidRPr="003F4619">
          <w:rPr>
            <w:rStyle w:val="Hyperlink"/>
            <w:lang w:val="fr-CA"/>
          </w:rPr>
          <w:t>e</w:t>
        </w:r>
        <w:r w:rsidR="00D23861" w:rsidRPr="003F4619">
          <w:rPr>
            <w:rStyle w:val="Hyperlink"/>
            <w:lang w:val="fr-CA"/>
          </w:rPr>
          <w:t>rche de BioCanRx</w:t>
        </w:r>
      </w:hyperlink>
      <w:r>
        <w:rPr>
          <w:lang w:val="fr-CA"/>
        </w:rPr>
        <w:t>.</w:t>
      </w:r>
    </w:p>
    <w:p w14:paraId="1465A140" w14:textId="77777777" w:rsidR="000C217F" w:rsidRPr="00D23861" w:rsidRDefault="000C217F" w:rsidP="009F5829">
      <w:pPr>
        <w:rPr>
          <w:b/>
          <w:bCs/>
          <w:lang w:val="fr-CA"/>
        </w:rPr>
      </w:pPr>
    </w:p>
    <w:p w14:paraId="19E7D956" w14:textId="77777777" w:rsidR="009F5829" w:rsidRPr="00D23861" w:rsidRDefault="00C00FD7" w:rsidP="009540F4">
      <w:pPr>
        <w:rPr>
          <w:b/>
          <w:bCs/>
          <w:lang w:val="fr-CA"/>
        </w:rPr>
      </w:pPr>
      <w:r w:rsidRPr="00D23861">
        <w:rPr>
          <w:b/>
          <w:bCs/>
          <w:noProof/>
          <w:lang w:val="fr-CA" w:eastAsia="fr-CA"/>
        </w:rPr>
        <w:drawing>
          <wp:inline distT="0" distB="0" distL="0" distR="0" wp14:anchorId="344D7FB9" wp14:editId="1C29B5AD">
            <wp:extent cx="5936734" cy="321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henry\AppData\Local\Microsoft\Windows\INetCache\Content.Word\overall-db-graphic.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6734" cy="3213100"/>
                    </a:xfrm>
                    <a:prstGeom prst="rect">
                      <a:avLst/>
                    </a:prstGeom>
                    <a:noFill/>
                    <a:ln>
                      <a:noFill/>
                    </a:ln>
                  </pic:spPr>
                </pic:pic>
              </a:graphicData>
            </a:graphic>
          </wp:inline>
        </w:drawing>
      </w:r>
    </w:p>
    <w:p w14:paraId="6E898959" w14:textId="77777777" w:rsidR="00D23861" w:rsidRPr="00D23861" w:rsidRDefault="00D23861" w:rsidP="00D23861">
      <w:pPr>
        <w:rPr>
          <w:lang w:val="fr-CA"/>
        </w:rPr>
      </w:pPr>
      <w:r w:rsidRPr="00D23861">
        <w:rPr>
          <w:lang w:val="fr-CA"/>
        </w:rPr>
        <w:t xml:space="preserve">BioCanRx, un </w:t>
      </w:r>
      <w:r w:rsidR="00E71574">
        <w:rPr>
          <w:lang w:val="fr-CA"/>
        </w:rPr>
        <w:t>r</w:t>
      </w:r>
      <w:r w:rsidRPr="00D23861">
        <w:rPr>
          <w:lang w:val="fr-CA"/>
        </w:rPr>
        <w:t>éseau de</w:t>
      </w:r>
      <w:r w:rsidR="00E71574">
        <w:rPr>
          <w:lang w:val="fr-CA"/>
        </w:rPr>
        <w:t>s</w:t>
      </w:r>
      <w:r w:rsidRPr="00D23861">
        <w:rPr>
          <w:lang w:val="fr-CA"/>
        </w:rPr>
        <w:t xml:space="preserve"> </w:t>
      </w:r>
      <w:r w:rsidR="00E71574">
        <w:rPr>
          <w:lang w:val="fr-CA"/>
        </w:rPr>
        <w:t>C</w:t>
      </w:r>
      <w:r w:rsidRPr="00D23861">
        <w:rPr>
          <w:lang w:val="fr-CA"/>
        </w:rPr>
        <w:t xml:space="preserve">entres d'excellence du gouvernement du Canada, a </w:t>
      </w:r>
      <w:r w:rsidR="00E71574">
        <w:rPr>
          <w:lang w:val="fr-CA"/>
        </w:rPr>
        <w:t xml:space="preserve">vu son financement renouvelé </w:t>
      </w:r>
      <w:r w:rsidRPr="00D23861">
        <w:rPr>
          <w:lang w:val="fr-CA"/>
        </w:rPr>
        <w:t>pour un cycle de trois ans. Au cours de son premier cycle de cinq ans, BioCanRx a investi 18,5</w:t>
      </w:r>
      <w:r w:rsidR="00E71574">
        <w:rPr>
          <w:lang w:val="fr-CA"/>
        </w:rPr>
        <w:t> M$</w:t>
      </w:r>
      <w:r w:rsidRPr="00D23861">
        <w:rPr>
          <w:lang w:val="fr-CA"/>
        </w:rPr>
        <w:t xml:space="preserve"> dans la recherche canadienne en immunothérapie, </w:t>
      </w:r>
      <w:r w:rsidR="00E71574">
        <w:rPr>
          <w:lang w:val="fr-CA"/>
        </w:rPr>
        <w:t xml:space="preserve">notamment dans </w:t>
      </w:r>
      <w:r w:rsidRPr="00D23861">
        <w:rPr>
          <w:lang w:val="fr-CA"/>
        </w:rPr>
        <w:t>huit essais cliniques</w:t>
      </w:r>
      <w:r w:rsidR="00E71574">
        <w:rPr>
          <w:lang w:val="fr-CA"/>
        </w:rPr>
        <w:t xml:space="preserve"> représentant des</w:t>
      </w:r>
      <w:r w:rsidRPr="00D23861">
        <w:rPr>
          <w:lang w:val="fr-CA"/>
        </w:rPr>
        <w:t xml:space="preserve"> </w:t>
      </w:r>
      <w:r w:rsidR="00E71574">
        <w:rPr>
          <w:lang w:val="fr-CA"/>
        </w:rPr>
        <w:t>« </w:t>
      </w:r>
      <w:r w:rsidRPr="00D23861">
        <w:rPr>
          <w:lang w:val="fr-CA"/>
        </w:rPr>
        <w:t>premi</w:t>
      </w:r>
      <w:r w:rsidR="00E71574">
        <w:rPr>
          <w:lang w:val="fr-CA"/>
        </w:rPr>
        <w:t>ères sur des humains »</w:t>
      </w:r>
      <w:r w:rsidRPr="00D23861">
        <w:rPr>
          <w:lang w:val="fr-CA"/>
        </w:rPr>
        <w:t>. BioCanRx a mobilisé 62</w:t>
      </w:r>
      <w:r w:rsidR="00E71574">
        <w:rPr>
          <w:lang w:val="fr-CA"/>
        </w:rPr>
        <w:t> M$</w:t>
      </w:r>
      <w:r w:rsidRPr="00D23861">
        <w:rPr>
          <w:lang w:val="fr-CA"/>
        </w:rPr>
        <w:t xml:space="preserve"> en fonds de partenariat et a établi des installations </w:t>
      </w:r>
      <w:r w:rsidR="00E71574">
        <w:rPr>
          <w:lang w:val="fr-CA"/>
        </w:rPr>
        <w:t>principales e</w:t>
      </w:r>
      <w:r w:rsidRPr="00D23861">
        <w:rPr>
          <w:lang w:val="fr-CA"/>
        </w:rPr>
        <w:t xml:space="preserve">t de </w:t>
      </w:r>
      <w:proofErr w:type="spellStart"/>
      <w:r w:rsidRPr="00D23861">
        <w:rPr>
          <w:lang w:val="fr-CA"/>
        </w:rPr>
        <w:t>biofabrication</w:t>
      </w:r>
      <w:proofErr w:type="spellEnd"/>
      <w:r w:rsidRPr="00D23861">
        <w:rPr>
          <w:lang w:val="fr-CA"/>
        </w:rPr>
        <w:t xml:space="preserve"> pour accélérer le rythme de transfert des découvertes scientifiques du laboratoire vers la clinique. Un investissement clé a permis </w:t>
      </w:r>
      <w:r w:rsidR="00E71574">
        <w:rPr>
          <w:lang w:val="fr-CA"/>
        </w:rPr>
        <w:t xml:space="preserve">à BioCanRx </w:t>
      </w:r>
      <w:r w:rsidRPr="00D23861">
        <w:rPr>
          <w:lang w:val="fr-CA"/>
        </w:rPr>
        <w:t>de renforcer la capacité canadienne de fabrication de cellules T</w:t>
      </w:r>
      <w:r w:rsidR="00E71574">
        <w:rPr>
          <w:lang w:val="fr-CA"/>
        </w:rPr>
        <w:t>-</w:t>
      </w:r>
      <w:r w:rsidRPr="00D23861">
        <w:rPr>
          <w:lang w:val="fr-CA"/>
        </w:rPr>
        <w:t xml:space="preserve">CAR au point de service. BioCanRx a également formé l'Alliance des </w:t>
      </w:r>
      <w:r w:rsidR="00E71574">
        <w:rPr>
          <w:lang w:val="fr-CA"/>
        </w:rPr>
        <w:t>intervenants contre le cancer</w:t>
      </w:r>
      <w:r w:rsidRPr="00D23861">
        <w:rPr>
          <w:lang w:val="fr-CA"/>
        </w:rPr>
        <w:t xml:space="preserve">, </w:t>
      </w:r>
      <w:r w:rsidR="00E71574">
        <w:rPr>
          <w:lang w:val="fr-CA"/>
        </w:rPr>
        <w:t xml:space="preserve">qui est </w:t>
      </w:r>
      <w:r w:rsidRPr="00D23861">
        <w:rPr>
          <w:lang w:val="fr-CA"/>
        </w:rPr>
        <w:t>composée de 51 organis</w:t>
      </w:r>
      <w:r w:rsidR="00E71574">
        <w:rPr>
          <w:lang w:val="fr-CA"/>
        </w:rPr>
        <w:t xml:space="preserve">mes de bienfaisance </w:t>
      </w:r>
      <w:r w:rsidRPr="00D23861">
        <w:rPr>
          <w:lang w:val="fr-CA"/>
        </w:rPr>
        <w:t>et non gouvernementa</w:t>
      </w:r>
      <w:r w:rsidR="00E71574">
        <w:rPr>
          <w:lang w:val="fr-CA"/>
        </w:rPr>
        <w:t>ux</w:t>
      </w:r>
      <w:r w:rsidRPr="00D23861">
        <w:rPr>
          <w:lang w:val="fr-CA"/>
        </w:rPr>
        <w:t xml:space="preserve"> de lutte contre le cancer, afin </w:t>
      </w:r>
      <w:r w:rsidR="00E71574">
        <w:rPr>
          <w:lang w:val="fr-CA"/>
        </w:rPr>
        <w:t>que la « </w:t>
      </w:r>
      <w:r w:rsidRPr="00D23861">
        <w:rPr>
          <w:lang w:val="fr-CA"/>
        </w:rPr>
        <w:t>voix du patient</w:t>
      </w:r>
      <w:r w:rsidR="00E71574">
        <w:rPr>
          <w:lang w:val="fr-CA"/>
        </w:rPr>
        <w:t> » soit prise en considération</w:t>
      </w:r>
      <w:r w:rsidRPr="00D23861">
        <w:rPr>
          <w:lang w:val="fr-CA"/>
        </w:rPr>
        <w:t xml:space="preserve"> dans tous les aspects de son programme clinique et scientifique et </w:t>
      </w:r>
      <w:r w:rsidR="00B95143">
        <w:rPr>
          <w:lang w:val="fr-CA"/>
        </w:rPr>
        <w:t xml:space="preserve">afin </w:t>
      </w:r>
      <w:r w:rsidRPr="00D23861">
        <w:rPr>
          <w:lang w:val="fr-CA"/>
        </w:rPr>
        <w:t>de fournir des conseils en matière d'investissements dans l</w:t>
      </w:r>
      <w:r w:rsidR="00B95143">
        <w:rPr>
          <w:lang w:val="fr-CA"/>
        </w:rPr>
        <w:t>es</w:t>
      </w:r>
      <w:r w:rsidRPr="00D23861">
        <w:rPr>
          <w:lang w:val="fr-CA"/>
        </w:rPr>
        <w:t xml:space="preserve"> politique</w:t>
      </w:r>
      <w:r w:rsidR="00B95143">
        <w:rPr>
          <w:lang w:val="fr-CA"/>
        </w:rPr>
        <w:t>s</w:t>
      </w:r>
      <w:r w:rsidRPr="00D23861">
        <w:rPr>
          <w:lang w:val="fr-CA"/>
        </w:rPr>
        <w:t xml:space="preserve"> </w:t>
      </w:r>
      <w:r w:rsidR="00B95143">
        <w:rPr>
          <w:lang w:val="fr-CA"/>
        </w:rPr>
        <w:t>relatives à la</w:t>
      </w:r>
      <w:r w:rsidRPr="00D23861">
        <w:rPr>
          <w:lang w:val="fr-CA"/>
        </w:rPr>
        <w:t xml:space="preserve"> santé. </w:t>
      </w:r>
    </w:p>
    <w:p w14:paraId="2D67205E" w14:textId="77777777" w:rsidR="005C2375" w:rsidRPr="00D23861" w:rsidRDefault="005C2375" w:rsidP="009540F4">
      <w:pPr>
        <w:rPr>
          <w:lang w:val="fr-CA"/>
        </w:rPr>
      </w:pPr>
    </w:p>
    <w:p w14:paraId="68519023" w14:textId="77777777" w:rsidR="00D23861" w:rsidRPr="00D23861" w:rsidRDefault="00D23861" w:rsidP="00D23861">
      <w:pPr>
        <w:rPr>
          <w:b/>
          <w:bCs/>
          <w:lang w:val="fr-CA"/>
        </w:rPr>
      </w:pPr>
      <w:r w:rsidRPr="00D23861">
        <w:rPr>
          <w:b/>
          <w:bCs/>
          <w:lang w:val="fr-CA"/>
        </w:rPr>
        <w:t xml:space="preserve">Citations </w:t>
      </w:r>
      <w:r w:rsidR="00782415">
        <w:rPr>
          <w:b/>
          <w:bCs/>
          <w:lang w:val="fr-CA"/>
        </w:rPr>
        <w:t>supplémentaires </w:t>
      </w:r>
      <w:r w:rsidRPr="00D23861">
        <w:rPr>
          <w:b/>
          <w:bCs/>
          <w:lang w:val="fr-CA"/>
        </w:rPr>
        <w:t>:</w:t>
      </w:r>
    </w:p>
    <w:p w14:paraId="1C136E53" w14:textId="77777777" w:rsidR="00D23861" w:rsidRPr="00D23861" w:rsidRDefault="00D23861" w:rsidP="00D23861">
      <w:pPr>
        <w:rPr>
          <w:b/>
          <w:bCs/>
          <w:lang w:val="fr-CA"/>
        </w:rPr>
      </w:pPr>
    </w:p>
    <w:p w14:paraId="307C374D" w14:textId="77777777" w:rsidR="00D23861" w:rsidRPr="00D23861" w:rsidRDefault="00D23861" w:rsidP="00D23861">
      <w:pPr>
        <w:rPr>
          <w:b/>
          <w:bCs/>
          <w:lang w:val="fr-CA"/>
        </w:rPr>
      </w:pPr>
      <w:r w:rsidRPr="00D23861">
        <w:rPr>
          <w:b/>
          <w:bCs/>
          <w:lang w:val="fr-CA"/>
        </w:rPr>
        <w:t xml:space="preserve">Ken Newport, président du </w:t>
      </w:r>
      <w:r w:rsidR="00B95143">
        <w:rPr>
          <w:b/>
          <w:bCs/>
          <w:lang w:val="fr-CA"/>
        </w:rPr>
        <w:t>C</w:t>
      </w:r>
      <w:r w:rsidRPr="00D23861">
        <w:rPr>
          <w:b/>
          <w:bCs/>
          <w:lang w:val="fr-CA"/>
        </w:rPr>
        <w:t xml:space="preserve">onseil d'administration de </w:t>
      </w:r>
      <w:r w:rsidR="00782415">
        <w:rPr>
          <w:b/>
          <w:bCs/>
          <w:lang w:val="fr-CA"/>
        </w:rPr>
        <w:t>BioCanRx </w:t>
      </w:r>
      <w:r w:rsidRPr="00D23861">
        <w:rPr>
          <w:b/>
          <w:bCs/>
          <w:lang w:val="fr-CA"/>
        </w:rPr>
        <w:t>:</w:t>
      </w:r>
    </w:p>
    <w:p w14:paraId="286253F3" w14:textId="77777777" w:rsidR="00D23861" w:rsidRPr="00D23861" w:rsidRDefault="00B95143" w:rsidP="00D23861">
      <w:pPr>
        <w:rPr>
          <w:lang w:val="fr-CA"/>
        </w:rPr>
      </w:pPr>
      <w:r>
        <w:rPr>
          <w:lang w:val="fr-CA"/>
        </w:rPr>
        <w:t>« </w:t>
      </w:r>
      <w:r w:rsidR="00D23861" w:rsidRPr="00D23861">
        <w:rPr>
          <w:lang w:val="fr-CA"/>
        </w:rPr>
        <w:t>BioCanRx investit dans les meilleures innovations canadiennes dans le domaine, toujours à la recherche d'une voie claire vers la clinique</w:t>
      </w:r>
      <w:r>
        <w:rPr>
          <w:lang w:val="fr-CA"/>
        </w:rPr>
        <w:t xml:space="preserve">, </w:t>
      </w:r>
      <w:r w:rsidR="00782415">
        <w:rPr>
          <w:lang w:val="fr-CA"/>
        </w:rPr>
        <w:t>pour le mieux-être</w:t>
      </w:r>
      <w:r w:rsidR="00D23861" w:rsidRPr="00D23861">
        <w:rPr>
          <w:lang w:val="fr-CA"/>
        </w:rPr>
        <w:t xml:space="preserve"> des patients. Il est également essentiel d'investir dans la prochaine génération de chercheurs. C'est pourquoi nous nous sommes engagés à </w:t>
      </w:r>
      <w:r>
        <w:rPr>
          <w:lang w:val="fr-CA"/>
        </w:rPr>
        <w:t>fournir des occasions de formation et de</w:t>
      </w:r>
      <w:r w:rsidR="00D23861" w:rsidRPr="00D23861">
        <w:rPr>
          <w:lang w:val="fr-CA"/>
        </w:rPr>
        <w:t xml:space="preserve"> renforce</w:t>
      </w:r>
      <w:r>
        <w:rPr>
          <w:lang w:val="fr-CA"/>
        </w:rPr>
        <w:t>ment des</w:t>
      </w:r>
      <w:r w:rsidR="00D23861" w:rsidRPr="00D23861">
        <w:rPr>
          <w:lang w:val="fr-CA"/>
        </w:rPr>
        <w:t xml:space="preserve"> capacités au Canada pour </w:t>
      </w:r>
      <w:r>
        <w:rPr>
          <w:lang w:val="fr-CA"/>
        </w:rPr>
        <w:t>que le</w:t>
      </w:r>
      <w:r w:rsidR="00D23861" w:rsidRPr="00D23861">
        <w:rPr>
          <w:lang w:val="fr-CA"/>
        </w:rPr>
        <w:t xml:space="preserve"> secteur de la biotechnologie de la santé </w:t>
      </w:r>
      <w:r>
        <w:rPr>
          <w:lang w:val="fr-CA"/>
        </w:rPr>
        <w:t xml:space="preserve">demeure </w:t>
      </w:r>
      <w:r w:rsidR="00D23861" w:rsidRPr="00D23861">
        <w:rPr>
          <w:lang w:val="fr-CA"/>
        </w:rPr>
        <w:t>florissant.</w:t>
      </w:r>
      <w:r>
        <w:rPr>
          <w:lang w:val="fr-CA"/>
        </w:rPr>
        <w:t> »</w:t>
      </w:r>
    </w:p>
    <w:p w14:paraId="5F3B55FC" w14:textId="77777777" w:rsidR="005C2375" w:rsidRPr="00D23861" w:rsidRDefault="005C2375" w:rsidP="005C2375">
      <w:pPr>
        <w:rPr>
          <w:b/>
          <w:bCs/>
          <w:lang w:val="fr-CA"/>
        </w:rPr>
      </w:pPr>
    </w:p>
    <w:p w14:paraId="025E940B" w14:textId="77777777" w:rsidR="00D23861" w:rsidRPr="00D23861" w:rsidRDefault="00D23861" w:rsidP="00D23861">
      <w:pPr>
        <w:rPr>
          <w:b/>
          <w:bCs/>
          <w:lang w:val="fr-CA"/>
        </w:rPr>
      </w:pPr>
      <w:r w:rsidRPr="00D23861">
        <w:rPr>
          <w:b/>
          <w:bCs/>
          <w:lang w:val="fr-CA"/>
        </w:rPr>
        <w:t>Dr</w:t>
      </w:r>
      <w:r w:rsidR="00B95143">
        <w:rPr>
          <w:b/>
          <w:bCs/>
          <w:lang w:val="fr-CA"/>
        </w:rPr>
        <w:t>e</w:t>
      </w:r>
      <w:r w:rsidRPr="00D23861">
        <w:rPr>
          <w:b/>
          <w:bCs/>
          <w:lang w:val="fr-CA"/>
        </w:rPr>
        <w:t xml:space="preserve"> Stéphanie Michaud, présidente et directrice générale de </w:t>
      </w:r>
      <w:r w:rsidR="00782415">
        <w:rPr>
          <w:b/>
          <w:bCs/>
          <w:lang w:val="fr-CA"/>
        </w:rPr>
        <w:t>BioCanRx </w:t>
      </w:r>
      <w:r w:rsidRPr="00D23861">
        <w:rPr>
          <w:b/>
          <w:bCs/>
          <w:lang w:val="fr-CA"/>
        </w:rPr>
        <w:t xml:space="preserve">: </w:t>
      </w:r>
    </w:p>
    <w:p w14:paraId="01622844" w14:textId="77777777" w:rsidR="00D23861" w:rsidRPr="00D23861" w:rsidRDefault="00B95143" w:rsidP="00D23861">
      <w:pPr>
        <w:rPr>
          <w:lang w:val="fr-CA"/>
        </w:rPr>
      </w:pPr>
      <w:r>
        <w:rPr>
          <w:lang w:val="fr-CA"/>
        </w:rPr>
        <w:t>« </w:t>
      </w:r>
      <w:r w:rsidR="00D23861" w:rsidRPr="00D23861">
        <w:rPr>
          <w:lang w:val="fr-CA"/>
        </w:rPr>
        <w:t>En collaboration avec nos partenaires de l'industrie, des groupes de patients, des organisations à but non lucratif et des organis</w:t>
      </w:r>
      <w:r>
        <w:rPr>
          <w:lang w:val="fr-CA"/>
        </w:rPr>
        <w:t>mes</w:t>
      </w:r>
      <w:r w:rsidR="00D23861" w:rsidRPr="00D23861">
        <w:rPr>
          <w:lang w:val="fr-CA"/>
        </w:rPr>
        <w:t xml:space="preserve"> gouvernementa</w:t>
      </w:r>
      <w:r>
        <w:rPr>
          <w:lang w:val="fr-CA"/>
        </w:rPr>
        <w:t>ux</w:t>
      </w:r>
      <w:r w:rsidR="00D23861" w:rsidRPr="00D23861">
        <w:rPr>
          <w:lang w:val="fr-CA"/>
        </w:rPr>
        <w:t xml:space="preserve">, BioCanRx </w:t>
      </w:r>
      <w:r>
        <w:rPr>
          <w:lang w:val="fr-CA"/>
        </w:rPr>
        <w:t xml:space="preserve">fait cheminer </w:t>
      </w:r>
      <w:r w:rsidR="00D23861" w:rsidRPr="00D23861">
        <w:rPr>
          <w:lang w:val="fr-CA"/>
        </w:rPr>
        <w:t xml:space="preserve">les technologies basées sur le système immunitaire du laboratoire </w:t>
      </w:r>
      <w:r>
        <w:rPr>
          <w:lang w:val="fr-CA"/>
        </w:rPr>
        <w:t>aux</w:t>
      </w:r>
      <w:r w:rsidR="00D23861" w:rsidRPr="00D23861">
        <w:rPr>
          <w:lang w:val="fr-CA"/>
        </w:rPr>
        <w:t xml:space="preserve"> essais cliniques de première phase. Nous nous sommes également engagés à travailler en parallèle pour </w:t>
      </w:r>
      <w:r>
        <w:rPr>
          <w:lang w:val="fr-CA"/>
        </w:rPr>
        <w:t>régler les enjeux</w:t>
      </w:r>
      <w:r w:rsidR="00D23861" w:rsidRPr="00D23861">
        <w:rPr>
          <w:lang w:val="fr-CA"/>
        </w:rPr>
        <w:t xml:space="preserve"> socio-économiques nécessaires à leur adoption dans le système de santé canadien.</w:t>
      </w:r>
      <w:r>
        <w:rPr>
          <w:lang w:val="fr-CA"/>
        </w:rPr>
        <w:t> »</w:t>
      </w:r>
    </w:p>
    <w:p w14:paraId="2DAF6A02" w14:textId="77777777" w:rsidR="009540F4" w:rsidRPr="00D23861" w:rsidRDefault="009540F4" w:rsidP="009540F4">
      <w:pPr>
        <w:rPr>
          <w:b/>
          <w:bCs/>
          <w:lang w:val="fr-CA"/>
        </w:rPr>
      </w:pPr>
    </w:p>
    <w:p w14:paraId="3D82AD21" w14:textId="77777777" w:rsidR="00D23861" w:rsidRPr="00D23861" w:rsidRDefault="00D23861" w:rsidP="00D23861">
      <w:pPr>
        <w:rPr>
          <w:b/>
          <w:bCs/>
          <w:lang w:val="fr-CA"/>
        </w:rPr>
      </w:pPr>
      <w:r w:rsidRPr="00D23861">
        <w:rPr>
          <w:b/>
          <w:bCs/>
          <w:lang w:val="fr-CA"/>
        </w:rPr>
        <w:t xml:space="preserve">Dr Duncan Stewart, vice-président </w:t>
      </w:r>
      <w:r w:rsidR="00B95143">
        <w:rPr>
          <w:b/>
          <w:bCs/>
          <w:lang w:val="fr-CA"/>
        </w:rPr>
        <w:t>administratif, R</w:t>
      </w:r>
      <w:r w:rsidRPr="00D23861">
        <w:rPr>
          <w:b/>
          <w:bCs/>
          <w:lang w:val="fr-CA"/>
        </w:rPr>
        <w:t>echerche</w:t>
      </w:r>
      <w:r w:rsidR="00B95143">
        <w:rPr>
          <w:b/>
          <w:bCs/>
          <w:lang w:val="fr-CA"/>
        </w:rPr>
        <w:t>, H</w:t>
      </w:r>
      <w:r w:rsidRPr="00D23861">
        <w:rPr>
          <w:b/>
          <w:bCs/>
          <w:lang w:val="fr-CA"/>
        </w:rPr>
        <w:t>ôpital d'Ottawa</w:t>
      </w:r>
      <w:r w:rsidR="00B95143">
        <w:rPr>
          <w:b/>
          <w:bCs/>
          <w:lang w:val="fr-CA"/>
        </w:rPr>
        <w:t>,</w:t>
      </w:r>
      <w:r w:rsidRPr="00D23861">
        <w:rPr>
          <w:b/>
          <w:bCs/>
          <w:lang w:val="fr-CA"/>
        </w:rPr>
        <w:t xml:space="preserve"> et PDG et directeur scientifique</w:t>
      </w:r>
      <w:r w:rsidR="00B95143">
        <w:rPr>
          <w:b/>
          <w:bCs/>
          <w:lang w:val="fr-CA"/>
        </w:rPr>
        <w:t xml:space="preserve">, </w:t>
      </w:r>
      <w:r w:rsidRPr="00D23861">
        <w:rPr>
          <w:b/>
          <w:bCs/>
          <w:lang w:val="fr-CA"/>
        </w:rPr>
        <w:t>Institut de recherche de l'</w:t>
      </w:r>
      <w:r w:rsidR="00B95143">
        <w:rPr>
          <w:b/>
          <w:bCs/>
          <w:lang w:val="fr-CA"/>
        </w:rPr>
        <w:t>H</w:t>
      </w:r>
      <w:r w:rsidRPr="00D23861">
        <w:rPr>
          <w:b/>
          <w:bCs/>
          <w:lang w:val="fr-CA"/>
        </w:rPr>
        <w:t>ôpital d'</w:t>
      </w:r>
      <w:r w:rsidR="00782415">
        <w:rPr>
          <w:b/>
          <w:bCs/>
          <w:lang w:val="fr-CA"/>
        </w:rPr>
        <w:t>Ottawa</w:t>
      </w:r>
      <w:r w:rsidR="00BF2B38">
        <w:rPr>
          <w:b/>
          <w:bCs/>
          <w:lang w:val="fr-CA"/>
        </w:rPr>
        <w:t>, et professeur, Université d’Ottawa</w:t>
      </w:r>
      <w:r w:rsidR="00782415">
        <w:rPr>
          <w:b/>
          <w:bCs/>
          <w:lang w:val="fr-CA"/>
        </w:rPr>
        <w:t> </w:t>
      </w:r>
      <w:r w:rsidRPr="00D23861">
        <w:rPr>
          <w:b/>
          <w:bCs/>
          <w:lang w:val="fr-CA"/>
        </w:rPr>
        <w:t>:</w:t>
      </w:r>
    </w:p>
    <w:p w14:paraId="5938B2F3" w14:textId="77777777" w:rsidR="00D23861" w:rsidRPr="00D23861" w:rsidRDefault="00B95143" w:rsidP="00D23861">
      <w:pPr>
        <w:rPr>
          <w:lang w:val="fr-CA"/>
        </w:rPr>
      </w:pPr>
      <w:r>
        <w:rPr>
          <w:lang w:val="fr-CA"/>
        </w:rPr>
        <w:t>« </w:t>
      </w:r>
      <w:r w:rsidR="00D23861" w:rsidRPr="00D23861">
        <w:rPr>
          <w:lang w:val="fr-CA"/>
        </w:rPr>
        <w:t>L'Institut de recherche de l'</w:t>
      </w:r>
      <w:r>
        <w:rPr>
          <w:lang w:val="fr-CA"/>
        </w:rPr>
        <w:t>H</w:t>
      </w:r>
      <w:r w:rsidR="00D23861" w:rsidRPr="00D23861">
        <w:rPr>
          <w:lang w:val="fr-CA"/>
        </w:rPr>
        <w:t>ôpital d'Ottawa est fier d'</w:t>
      </w:r>
      <w:r>
        <w:rPr>
          <w:lang w:val="fr-CA"/>
        </w:rPr>
        <w:t>héberger</w:t>
      </w:r>
      <w:r w:rsidR="00D23861" w:rsidRPr="00D23861">
        <w:rPr>
          <w:lang w:val="fr-CA"/>
        </w:rPr>
        <w:t xml:space="preserve"> le réseau BioCanRx. </w:t>
      </w:r>
      <w:r w:rsidR="00BF2B38">
        <w:rPr>
          <w:lang w:val="fr-CA"/>
        </w:rPr>
        <w:t>En travaillant ensemble, nous fournissons un soutien crucial à</w:t>
      </w:r>
      <w:r w:rsidR="00D23861" w:rsidRPr="00D23861">
        <w:rPr>
          <w:lang w:val="fr-CA"/>
        </w:rPr>
        <w:t xml:space="preserve"> </w:t>
      </w:r>
      <w:r w:rsidR="00BF2B38">
        <w:rPr>
          <w:lang w:val="fr-CA"/>
        </w:rPr>
        <w:t xml:space="preserve">la </w:t>
      </w:r>
      <w:r w:rsidR="00D23861" w:rsidRPr="00D23861">
        <w:rPr>
          <w:lang w:val="fr-CA"/>
        </w:rPr>
        <w:t xml:space="preserve">recherche </w:t>
      </w:r>
      <w:r w:rsidR="00BF2B38">
        <w:rPr>
          <w:lang w:val="fr-CA"/>
        </w:rPr>
        <w:t>révolutionnaire sur l’immunothérapie du</w:t>
      </w:r>
      <w:r w:rsidR="00D23861" w:rsidRPr="00D23861">
        <w:rPr>
          <w:lang w:val="fr-CA"/>
        </w:rPr>
        <w:t xml:space="preserve"> cancer</w:t>
      </w:r>
      <w:r w:rsidR="00BF2B38">
        <w:rPr>
          <w:lang w:val="fr-CA"/>
        </w:rPr>
        <w:t>, cette recherche ayant le potentiel de sauver et de transformer des vies.</w:t>
      </w:r>
      <w:r>
        <w:rPr>
          <w:lang w:val="fr-CA"/>
        </w:rPr>
        <w:t> »</w:t>
      </w:r>
      <w:r w:rsidR="00D23861" w:rsidRPr="00D23861">
        <w:rPr>
          <w:lang w:val="fr-CA"/>
        </w:rPr>
        <w:t xml:space="preserve"> </w:t>
      </w:r>
    </w:p>
    <w:p w14:paraId="6F360245" w14:textId="77777777" w:rsidR="009F5829" w:rsidRPr="00D23861" w:rsidRDefault="009F5829" w:rsidP="009540F4">
      <w:pPr>
        <w:rPr>
          <w:b/>
          <w:bCs/>
          <w:lang w:val="fr-CA"/>
        </w:rPr>
      </w:pPr>
    </w:p>
    <w:p w14:paraId="59BDF7FA" w14:textId="57E80C19" w:rsidR="003F4619" w:rsidRDefault="003F4619" w:rsidP="00F45F02">
      <w:pPr>
        <w:rPr>
          <w:b/>
          <w:bCs/>
          <w:lang w:val="fr-CA"/>
        </w:rPr>
      </w:pPr>
      <w:hyperlink r:id="rId11" w:history="1">
        <w:r w:rsidR="00B95143" w:rsidRPr="003F4619">
          <w:rPr>
            <w:rStyle w:val="Hyperlink"/>
            <w:b/>
            <w:bCs/>
            <w:lang w:val="fr-CA"/>
          </w:rPr>
          <w:t>Pour plus d’infor</w:t>
        </w:r>
        <w:r w:rsidR="00B95143" w:rsidRPr="003F4619">
          <w:rPr>
            <w:rStyle w:val="Hyperlink"/>
            <w:b/>
            <w:bCs/>
            <w:lang w:val="fr-CA"/>
          </w:rPr>
          <w:t>m</w:t>
        </w:r>
        <w:r w:rsidR="00B95143" w:rsidRPr="003F4619">
          <w:rPr>
            <w:rStyle w:val="Hyperlink"/>
            <w:b/>
            <w:bCs/>
            <w:lang w:val="fr-CA"/>
          </w:rPr>
          <w:t>ati</w:t>
        </w:r>
        <w:r w:rsidR="00B95143" w:rsidRPr="003F4619">
          <w:rPr>
            <w:rStyle w:val="Hyperlink"/>
            <w:b/>
            <w:bCs/>
            <w:lang w:val="fr-CA"/>
          </w:rPr>
          <w:t>o</w:t>
        </w:r>
        <w:r w:rsidR="00B95143" w:rsidRPr="003F4619">
          <w:rPr>
            <w:rStyle w:val="Hyperlink"/>
            <w:b/>
            <w:bCs/>
            <w:lang w:val="fr-CA"/>
          </w:rPr>
          <w:t>ns</w:t>
        </w:r>
      </w:hyperlink>
      <w:r w:rsidR="00D23861" w:rsidRPr="00D23861">
        <w:rPr>
          <w:b/>
          <w:bCs/>
          <w:lang w:val="fr-CA"/>
        </w:rPr>
        <w:t xml:space="preserve"> </w:t>
      </w:r>
    </w:p>
    <w:p w14:paraId="462F789A" w14:textId="77777777" w:rsidR="009540F4" w:rsidRPr="00D23861" w:rsidRDefault="009540F4" w:rsidP="009540F4">
      <w:pPr>
        <w:rPr>
          <w:b/>
          <w:bCs/>
          <w:lang w:val="fr-CA"/>
        </w:rPr>
      </w:pPr>
    </w:p>
    <w:p w14:paraId="26327F58" w14:textId="77777777" w:rsidR="00BA0F76" w:rsidRPr="00BF2B38" w:rsidRDefault="00BA0F76" w:rsidP="00BA0F76">
      <w:pPr>
        <w:shd w:val="clear" w:color="auto" w:fill="FFFFFF"/>
        <w:spacing w:line="320" w:lineRule="atLeast"/>
        <w:outlineLvl w:val="0"/>
        <w:rPr>
          <w:rFonts w:eastAsia="Times New Roman" w:cstheme="minorHAnsi"/>
          <w:b/>
          <w:color w:val="000000"/>
          <w:kern w:val="36"/>
          <w:lang w:val="fr-CA"/>
        </w:rPr>
      </w:pPr>
      <w:r w:rsidRPr="00BF2B38">
        <w:rPr>
          <w:rFonts w:eastAsia="Times New Roman" w:cstheme="minorHAnsi"/>
          <w:b/>
          <w:color w:val="000000"/>
          <w:kern w:val="36"/>
          <w:lang w:val="fr-CA"/>
        </w:rPr>
        <w:t>À propos de BioCanRx</w:t>
      </w:r>
    </w:p>
    <w:p w14:paraId="7A4C0CCF" w14:textId="77777777" w:rsidR="00BA0F76" w:rsidRPr="004D07AF" w:rsidRDefault="00BA0F76" w:rsidP="00BA0F76">
      <w:pPr>
        <w:rPr>
          <w:rFonts w:cstheme="minorHAnsi"/>
          <w:lang w:val="fr-CA"/>
        </w:rPr>
      </w:pPr>
    </w:p>
    <w:p w14:paraId="52946A18" w14:textId="77777777" w:rsidR="00BA0F76" w:rsidRPr="00BF2B38" w:rsidRDefault="00BA0F76" w:rsidP="00BA0F76">
      <w:pPr>
        <w:rPr>
          <w:lang w:val="fr-CA"/>
        </w:rPr>
      </w:pPr>
      <w:r w:rsidRPr="00BF2B38">
        <w:rPr>
          <w:rFonts w:eastAsia="Times New Roman" w:cstheme="minorHAnsi"/>
          <w:color w:val="000000"/>
          <w:shd w:val="clear" w:color="auto" w:fill="FFFFFF"/>
          <w:lang w:val="fr-CA"/>
        </w:rPr>
        <w:t>BioCanRx, le réseau canadien d’immunothérapie, est un regroupement de scientifiques, de cliniciens, d’intervenants dans le domaine du cancer, d’établissements d’enseignement, d’ONG et de partenaires de l’industrie qui travaillent ensemble pour accélérer le développement de thérapies de pointe en immunothérapie oncologique pour le bien des patients. Notre vision consiste à guérir les patients et améliorer la qualité de vie de ceux qui doivent vivre avec le cancer. BioCanRx investit dans la recherche de pointe en immunologie oncologique, toujours dans le but d’accélérer la transition des technologies les plus prometteuses du laboratoire vers les essais cliniques de phase précoce. BioCanRx offre aux chercheurs un meilleur accès au financement, à l’expertise, au perfectionnement et aux installations de production. Nous sommes à l’avant-plan du développement, de la production et de l’adoption d’immunothérapies novatrices contre le cancer. BioCanRx s’est également donné pour mandat d’attirer et perfectionner les individus de talent requis pour assurer l’épanouissement du secteur biotechnologique de la santé au Canada. BioCanRx reçoit des fonds des Réseaux de centres d’excellence du gouvernement du Canada, ainsi que le soutien de l’industrie, des provinces et d’organismes de bienfaisance nationaux. BioCanRx est hébergé par l’Institut de recherche de l’Hôpital d’Ottawa.</w:t>
      </w:r>
    </w:p>
    <w:p w14:paraId="22B6EF2A" w14:textId="77777777" w:rsidR="009F5829" w:rsidRDefault="00DB630F" w:rsidP="00F45F02">
      <w:pPr>
        <w:rPr>
          <w:lang w:val="fr-CA"/>
        </w:rPr>
      </w:pPr>
      <w:hyperlink r:id="rId12" w:history="1">
        <w:r w:rsidR="00BF2B38" w:rsidRPr="00B411B6">
          <w:rPr>
            <w:rStyle w:val="Hyperlink"/>
            <w:lang w:val="fr-CA"/>
          </w:rPr>
          <w:t>https://biocanrx.com/?lang=fr</w:t>
        </w:r>
      </w:hyperlink>
    </w:p>
    <w:p w14:paraId="5F01ECEE" w14:textId="77777777" w:rsidR="00BF2B38" w:rsidRPr="00D23861" w:rsidRDefault="00BF2B38" w:rsidP="00F45F02">
      <w:pPr>
        <w:rPr>
          <w:lang w:val="fr-CA"/>
        </w:rPr>
      </w:pPr>
    </w:p>
    <w:p w14:paraId="6D43A2EB" w14:textId="11907A72" w:rsidR="007E2682" w:rsidRPr="003F4619" w:rsidRDefault="007E2682" w:rsidP="007E2682">
      <w:pPr>
        <w:rPr>
          <w:b/>
          <w:bCs/>
          <w:lang w:val="fr-CA"/>
        </w:rPr>
      </w:pPr>
      <w:r w:rsidRPr="003F4619">
        <w:rPr>
          <w:b/>
          <w:bCs/>
          <w:lang w:val="fr-CA"/>
        </w:rPr>
        <w:t xml:space="preserve">Pour demandes d'entrevue ou questions, svp veuillez </w:t>
      </w:r>
      <w:proofErr w:type="spellStart"/>
      <w:r w:rsidRPr="003F4619">
        <w:rPr>
          <w:b/>
          <w:bCs/>
          <w:lang w:val="fr-CA"/>
        </w:rPr>
        <w:t>rejoinder</w:t>
      </w:r>
      <w:proofErr w:type="spellEnd"/>
      <w:r w:rsidRPr="003F4619">
        <w:rPr>
          <w:b/>
          <w:bCs/>
          <w:lang w:val="fr-CA"/>
        </w:rPr>
        <w:t xml:space="preserve"> :</w:t>
      </w:r>
    </w:p>
    <w:p w14:paraId="67EB5C05" w14:textId="56CDF58D" w:rsidR="000C217F" w:rsidRPr="00D23861" w:rsidRDefault="000C217F" w:rsidP="000C217F">
      <w:pPr>
        <w:rPr>
          <w:b/>
          <w:bCs/>
          <w:lang w:val="fr-CA"/>
        </w:rPr>
      </w:pPr>
    </w:p>
    <w:p w14:paraId="4B362BCB" w14:textId="77777777" w:rsidR="000C217F" w:rsidRPr="00D23861" w:rsidRDefault="000C217F" w:rsidP="009F4C2B">
      <w:pPr>
        <w:rPr>
          <w:lang w:val="fr-CA"/>
        </w:rPr>
      </w:pPr>
      <w:r w:rsidRPr="00D23861">
        <w:rPr>
          <w:lang w:val="fr-CA"/>
        </w:rPr>
        <w:t xml:space="preserve">Nancy Boyle, </w:t>
      </w:r>
      <w:r w:rsidR="00E71574">
        <w:rPr>
          <w:lang w:val="fr-CA"/>
        </w:rPr>
        <w:t>directrice</w:t>
      </w:r>
      <w:r w:rsidRPr="00D23861">
        <w:rPr>
          <w:lang w:val="fr-CA"/>
        </w:rPr>
        <w:t xml:space="preserve">, Communications, </w:t>
      </w:r>
      <w:r w:rsidR="00E71574">
        <w:rPr>
          <w:lang w:val="fr-CA"/>
        </w:rPr>
        <w:t>marketing et mobilisation</w:t>
      </w:r>
      <w:r w:rsidRPr="00D23861">
        <w:rPr>
          <w:lang w:val="fr-CA"/>
        </w:rPr>
        <w:t>, BioCanRx</w:t>
      </w:r>
    </w:p>
    <w:p w14:paraId="783AEDE0" w14:textId="77777777" w:rsidR="000C217F" w:rsidRPr="00D23861" w:rsidRDefault="000C217F" w:rsidP="000C217F">
      <w:pPr>
        <w:rPr>
          <w:lang w:val="fr-CA"/>
        </w:rPr>
      </w:pPr>
      <w:r w:rsidRPr="00D23861">
        <w:rPr>
          <w:lang w:val="fr-CA"/>
        </w:rPr>
        <w:t xml:space="preserve">613-402-5680 / </w:t>
      </w:r>
      <w:hyperlink r:id="rId13" w:history="1">
        <w:r w:rsidRPr="00D23861">
          <w:rPr>
            <w:rStyle w:val="Hyperlink"/>
            <w:lang w:val="fr-CA"/>
          </w:rPr>
          <w:t>nboyle@biocanrx.com</w:t>
        </w:r>
      </w:hyperlink>
    </w:p>
    <w:p w14:paraId="07C49022" w14:textId="77777777" w:rsidR="00551FCF" w:rsidRPr="00D23861" w:rsidRDefault="00551FCF" w:rsidP="000C217F">
      <w:pPr>
        <w:rPr>
          <w:lang w:val="fr-CA"/>
        </w:rPr>
      </w:pPr>
    </w:p>
    <w:p w14:paraId="1ADA0F3E" w14:textId="77777777" w:rsidR="000C217F" w:rsidRPr="00D23861" w:rsidRDefault="000C217F" w:rsidP="000C217F">
      <w:pPr>
        <w:rPr>
          <w:lang w:val="fr-CA"/>
        </w:rPr>
      </w:pPr>
      <w:r w:rsidRPr="00D23861">
        <w:rPr>
          <w:lang w:val="fr-CA"/>
        </w:rPr>
        <w:t xml:space="preserve">April Henry, </w:t>
      </w:r>
      <w:r w:rsidR="00E71574">
        <w:rPr>
          <w:lang w:val="fr-CA"/>
        </w:rPr>
        <w:t>spécialiste</w:t>
      </w:r>
      <w:r w:rsidRPr="00D23861">
        <w:rPr>
          <w:lang w:val="fr-CA"/>
        </w:rPr>
        <w:t>, Op</w:t>
      </w:r>
      <w:r w:rsidR="00E71574">
        <w:rPr>
          <w:lang w:val="fr-CA"/>
        </w:rPr>
        <w:t>ér</w:t>
      </w:r>
      <w:r w:rsidRPr="00D23861">
        <w:rPr>
          <w:lang w:val="fr-CA"/>
        </w:rPr>
        <w:t xml:space="preserve">ations </w:t>
      </w:r>
      <w:r w:rsidR="00E71574">
        <w:rPr>
          <w:lang w:val="fr-CA"/>
        </w:rPr>
        <w:t>et c</w:t>
      </w:r>
      <w:r w:rsidRPr="00D23861">
        <w:rPr>
          <w:lang w:val="fr-CA"/>
        </w:rPr>
        <w:t>ommunications</w:t>
      </w:r>
      <w:r w:rsidR="00551FCF" w:rsidRPr="00D23861">
        <w:rPr>
          <w:lang w:val="fr-CA"/>
        </w:rPr>
        <w:t>, BioCanRx</w:t>
      </w:r>
    </w:p>
    <w:p w14:paraId="3A877B6A" w14:textId="77777777" w:rsidR="000C217F" w:rsidRPr="00D23861" w:rsidRDefault="00DB630F" w:rsidP="00F45F02">
      <w:pPr>
        <w:rPr>
          <w:lang w:val="fr-CA"/>
        </w:rPr>
      </w:pPr>
      <w:hyperlink r:id="rId14" w:history="1">
        <w:r w:rsidR="000C217F" w:rsidRPr="00D23861">
          <w:rPr>
            <w:rStyle w:val="Hyperlink"/>
            <w:lang w:val="fr-CA"/>
          </w:rPr>
          <w:t>ahenry@biocanrx.com</w:t>
        </w:r>
      </w:hyperlink>
    </w:p>
    <w:p w14:paraId="7A966CB1" w14:textId="77777777" w:rsidR="009F4C2B" w:rsidRPr="00D23861" w:rsidRDefault="009F4C2B" w:rsidP="00F45F02">
      <w:pPr>
        <w:rPr>
          <w:lang w:val="fr-CA"/>
        </w:rPr>
      </w:pPr>
    </w:p>
    <w:p w14:paraId="77D4C4AC" w14:textId="77777777" w:rsidR="00B56A13" w:rsidRPr="00D23861" w:rsidRDefault="00E71574" w:rsidP="00B56A13">
      <w:pPr>
        <w:rPr>
          <w:b/>
          <w:bCs/>
          <w:lang w:val="fr-CA"/>
        </w:rPr>
      </w:pPr>
      <w:r>
        <w:rPr>
          <w:b/>
          <w:bCs/>
          <w:lang w:val="fr-CA"/>
        </w:rPr>
        <w:t xml:space="preserve">Rejoindre </w:t>
      </w:r>
      <w:r w:rsidR="00B56A13" w:rsidRPr="00D23861">
        <w:rPr>
          <w:b/>
          <w:bCs/>
          <w:lang w:val="fr-CA"/>
        </w:rPr>
        <w:t>BioCanRx</w:t>
      </w:r>
      <w:r>
        <w:rPr>
          <w:b/>
          <w:bCs/>
          <w:lang w:val="fr-CA"/>
        </w:rPr>
        <w:t> sur </w:t>
      </w:r>
      <w:r w:rsidR="00B56A13" w:rsidRPr="00D23861">
        <w:rPr>
          <w:b/>
          <w:bCs/>
          <w:lang w:val="fr-CA"/>
        </w:rPr>
        <w:t xml:space="preserve">: </w:t>
      </w:r>
    </w:p>
    <w:p w14:paraId="3889FCC9" w14:textId="77777777" w:rsidR="00B56A13" w:rsidRPr="00D23861" w:rsidRDefault="00DB630F" w:rsidP="00B56A13">
      <w:pPr>
        <w:rPr>
          <w:lang w:val="fr-CA"/>
        </w:rPr>
      </w:pPr>
      <w:hyperlink r:id="rId15" w:history="1">
        <w:r w:rsidR="00B56A13" w:rsidRPr="00D23861">
          <w:rPr>
            <w:rStyle w:val="Hyperlink"/>
            <w:lang w:val="fr-CA"/>
          </w:rPr>
          <w:t>Twitter</w:t>
        </w:r>
      </w:hyperlink>
      <w:r w:rsidR="00B56A13" w:rsidRPr="00D23861">
        <w:rPr>
          <w:lang w:val="fr-CA"/>
        </w:rPr>
        <w:t xml:space="preserve"> </w:t>
      </w:r>
    </w:p>
    <w:p w14:paraId="20B38011" w14:textId="77777777" w:rsidR="00B56A13" w:rsidRPr="00D23861" w:rsidRDefault="00DB630F" w:rsidP="00B56A13">
      <w:pPr>
        <w:rPr>
          <w:lang w:val="fr-CA"/>
        </w:rPr>
      </w:pPr>
      <w:hyperlink r:id="rId16" w:history="1">
        <w:r w:rsidR="00B56A13" w:rsidRPr="00D23861">
          <w:rPr>
            <w:rStyle w:val="Hyperlink"/>
            <w:lang w:val="fr-CA"/>
          </w:rPr>
          <w:t>Facebook</w:t>
        </w:r>
      </w:hyperlink>
    </w:p>
    <w:p w14:paraId="2144C5DF" w14:textId="77777777" w:rsidR="00B56A13" w:rsidRPr="00D23861" w:rsidRDefault="00DB630F" w:rsidP="00B56A13">
      <w:pPr>
        <w:rPr>
          <w:lang w:val="fr-CA"/>
        </w:rPr>
      </w:pPr>
      <w:hyperlink r:id="rId17" w:history="1">
        <w:r w:rsidR="00B56A13" w:rsidRPr="00D23861">
          <w:rPr>
            <w:rStyle w:val="Hyperlink"/>
            <w:lang w:val="fr-CA"/>
          </w:rPr>
          <w:t>Instagram</w:t>
        </w:r>
      </w:hyperlink>
    </w:p>
    <w:p w14:paraId="6667D09B" w14:textId="77777777" w:rsidR="00B56A13" w:rsidRPr="00D23861" w:rsidRDefault="00DB630F" w:rsidP="00B56A13">
      <w:pPr>
        <w:rPr>
          <w:lang w:val="fr-CA"/>
        </w:rPr>
      </w:pPr>
      <w:hyperlink r:id="rId18" w:history="1">
        <w:r w:rsidR="00B56A13" w:rsidRPr="00D23861">
          <w:rPr>
            <w:rStyle w:val="Hyperlink"/>
            <w:lang w:val="fr-CA"/>
          </w:rPr>
          <w:t>LinkedIn</w:t>
        </w:r>
      </w:hyperlink>
    </w:p>
    <w:p w14:paraId="37BAA6EC" w14:textId="77777777" w:rsidR="00B56A13" w:rsidRPr="00D23861" w:rsidRDefault="00DB630F" w:rsidP="00B56A13">
      <w:pPr>
        <w:rPr>
          <w:lang w:val="fr-CA"/>
        </w:rPr>
      </w:pPr>
      <w:hyperlink r:id="rId19" w:history="1">
        <w:r w:rsidR="00B56A13" w:rsidRPr="00D23861">
          <w:rPr>
            <w:rStyle w:val="Hyperlink"/>
            <w:lang w:val="fr-CA"/>
          </w:rPr>
          <w:t>YouTube</w:t>
        </w:r>
      </w:hyperlink>
    </w:p>
    <w:p w14:paraId="0EA272B2" w14:textId="77777777" w:rsidR="00B56A13" w:rsidRPr="00D23861" w:rsidRDefault="00B56A13" w:rsidP="00F45F02">
      <w:pPr>
        <w:rPr>
          <w:lang w:val="fr-CA"/>
        </w:rPr>
      </w:pPr>
    </w:p>
    <w:p w14:paraId="0916CAAB" w14:textId="77777777" w:rsidR="001C6B8A" w:rsidRPr="00D23861" w:rsidRDefault="00766794" w:rsidP="00F45F02">
      <w:pPr>
        <w:rPr>
          <w:lang w:val="fr-CA"/>
        </w:rPr>
      </w:pPr>
      <w:r w:rsidRPr="00D23861">
        <w:rPr>
          <w:noProof/>
          <w:lang w:val="fr-CA" w:eastAsia="fr-CA"/>
        </w:rPr>
        <w:drawing>
          <wp:anchor distT="0" distB="0" distL="114300" distR="114300" simplePos="0" relativeHeight="251660288" behindDoc="1" locked="0" layoutInCell="1" allowOverlap="1" wp14:anchorId="072B5CAE" wp14:editId="258F46D8">
            <wp:simplePos x="0" y="0"/>
            <wp:positionH relativeFrom="margin">
              <wp:align>right</wp:align>
            </wp:positionH>
            <wp:positionV relativeFrom="paragraph">
              <wp:posOffset>1905</wp:posOffset>
            </wp:positionV>
            <wp:extent cx="4286250" cy="527050"/>
            <wp:effectExtent l="0" t="0" r="0" b="0"/>
            <wp:wrapTight wrapText="bothSides">
              <wp:wrapPolygon edited="0">
                <wp:start x="0" y="0"/>
                <wp:lineTo x="0" y="21080"/>
                <wp:lineTo x="21504" y="21080"/>
                <wp:lineTo x="21504" y="0"/>
                <wp:lineTo x="0" y="0"/>
              </wp:wrapPolygon>
            </wp:wrapTight>
            <wp:docPr id="1" name="Picture 1" descr="C:\Users\aphenry\AppData\Local\Microsoft\Windows\INetCache\Content.Word\NCE-FIP-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henry\AppData\Local\Microsoft\Windows\INetCache\Content.Word\NCE-FIP-Colo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6B8A" w:rsidRPr="00D23861" w:rsidSect="00C00FD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39D9" w14:textId="77777777" w:rsidR="00DB630F" w:rsidRDefault="00DB630F" w:rsidP="00C00FD7">
      <w:r>
        <w:separator/>
      </w:r>
    </w:p>
  </w:endnote>
  <w:endnote w:type="continuationSeparator" w:id="0">
    <w:p w14:paraId="3EE32A2D" w14:textId="77777777" w:rsidR="00DB630F" w:rsidRDefault="00DB630F" w:rsidP="00C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1751" w14:textId="77777777" w:rsidR="00B95143" w:rsidRDefault="00B9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2E0D" w14:textId="77777777" w:rsidR="00B95143" w:rsidRDefault="00B9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837E" w14:textId="77777777" w:rsidR="00B95143" w:rsidRDefault="00B9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8337" w14:textId="77777777" w:rsidR="00DB630F" w:rsidRDefault="00DB630F" w:rsidP="00C00FD7">
      <w:r>
        <w:separator/>
      </w:r>
    </w:p>
  </w:footnote>
  <w:footnote w:type="continuationSeparator" w:id="0">
    <w:p w14:paraId="2D0AC345" w14:textId="77777777" w:rsidR="00DB630F" w:rsidRDefault="00DB630F" w:rsidP="00C0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E8CC" w14:textId="77777777" w:rsidR="00B95143" w:rsidRDefault="00B9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1763" w14:textId="77777777" w:rsidR="00B95143" w:rsidRDefault="00B95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61BD" w14:textId="77777777" w:rsidR="00B95143" w:rsidRDefault="00B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E6C5B"/>
    <w:multiLevelType w:val="hybridMultilevel"/>
    <w:tmpl w:val="7E4A7F2C"/>
    <w:lvl w:ilvl="0" w:tplc="1A6C2BB4">
      <w:start w:val="1"/>
      <w:numFmt w:val="bullet"/>
      <w:lvlText w:val="•"/>
      <w:lvlJc w:val="left"/>
      <w:pPr>
        <w:tabs>
          <w:tab w:val="num" w:pos="720"/>
        </w:tabs>
        <w:ind w:left="720" w:hanging="360"/>
      </w:pPr>
      <w:rPr>
        <w:rFonts w:ascii="Arial" w:hAnsi="Arial" w:hint="default"/>
      </w:rPr>
    </w:lvl>
    <w:lvl w:ilvl="1" w:tplc="22C8AAC2" w:tentative="1">
      <w:start w:val="1"/>
      <w:numFmt w:val="bullet"/>
      <w:lvlText w:val="•"/>
      <w:lvlJc w:val="left"/>
      <w:pPr>
        <w:tabs>
          <w:tab w:val="num" w:pos="1440"/>
        </w:tabs>
        <w:ind w:left="1440" w:hanging="360"/>
      </w:pPr>
      <w:rPr>
        <w:rFonts w:ascii="Arial" w:hAnsi="Arial" w:hint="default"/>
      </w:rPr>
    </w:lvl>
    <w:lvl w:ilvl="2" w:tplc="7A8A87C0" w:tentative="1">
      <w:start w:val="1"/>
      <w:numFmt w:val="bullet"/>
      <w:lvlText w:val="•"/>
      <w:lvlJc w:val="left"/>
      <w:pPr>
        <w:tabs>
          <w:tab w:val="num" w:pos="2160"/>
        </w:tabs>
        <w:ind w:left="2160" w:hanging="360"/>
      </w:pPr>
      <w:rPr>
        <w:rFonts w:ascii="Arial" w:hAnsi="Arial" w:hint="default"/>
      </w:rPr>
    </w:lvl>
    <w:lvl w:ilvl="3" w:tplc="39E2FD58" w:tentative="1">
      <w:start w:val="1"/>
      <w:numFmt w:val="bullet"/>
      <w:lvlText w:val="•"/>
      <w:lvlJc w:val="left"/>
      <w:pPr>
        <w:tabs>
          <w:tab w:val="num" w:pos="2880"/>
        </w:tabs>
        <w:ind w:left="2880" w:hanging="360"/>
      </w:pPr>
      <w:rPr>
        <w:rFonts w:ascii="Arial" w:hAnsi="Arial" w:hint="default"/>
      </w:rPr>
    </w:lvl>
    <w:lvl w:ilvl="4" w:tplc="A47CCA70" w:tentative="1">
      <w:start w:val="1"/>
      <w:numFmt w:val="bullet"/>
      <w:lvlText w:val="•"/>
      <w:lvlJc w:val="left"/>
      <w:pPr>
        <w:tabs>
          <w:tab w:val="num" w:pos="3600"/>
        </w:tabs>
        <w:ind w:left="3600" w:hanging="360"/>
      </w:pPr>
      <w:rPr>
        <w:rFonts w:ascii="Arial" w:hAnsi="Arial" w:hint="default"/>
      </w:rPr>
    </w:lvl>
    <w:lvl w:ilvl="5" w:tplc="D53E4CFC" w:tentative="1">
      <w:start w:val="1"/>
      <w:numFmt w:val="bullet"/>
      <w:lvlText w:val="•"/>
      <w:lvlJc w:val="left"/>
      <w:pPr>
        <w:tabs>
          <w:tab w:val="num" w:pos="4320"/>
        </w:tabs>
        <w:ind w:left="4320" w:hanging="360"/>
      </w:pPr>
      <w:rPr>
        <w:rFonts w:ascii="Arial" w:hAnsi="Arial" w:hint="default"/>
      </w:rPr>
    </w:lvl>
    <w:lvl w:ilvl="6" w:tplc="C67AC3A0" w:tentative="1">
      <w:start w:val="1"/>
      <w:numFmt w:val="bullet"/>
      <w:lvlText w:val="•"/>
      <w:lvlJc w:val="left"/>
      <w:pPr>
        <w:tabs>
          <w:tab w:val="num" w:pos="5040"/>
        </w:tabs>
        <w:ind w:left="5040" w:hanging="360"/>
      </w:pPr>
      <w:rPr>
        <w:rFonts w:ascii="Arial" w:hAnsi="Arial" w:hint="default"/>
      </w:rPr>
    </w:lvl>
    <w:lvl w:ilvl="7" w:tplc="5830BE08" w:tentative="1">
      <w:start w:val="1"/>
      <w:numFmt w:val="bullet"/>
      <w:lvlText w:val="•"/>
      <w:lvlJc w:val="left"/>
      <w:pPr>
        <w:tabs>
          <w:tab w:val="num" w:pos="5760"/>
        </w:tabs>
        <w:ind w:left="5760" w:hanging="360"/>
      </w:pPr>
      <w:rPr>
        <w:rFonts w:ascii="Arial" w:hAnsi="Arial" w:hint="default"/>
      </w:rPr>
    </w:lvl>
    <w:lvl w:ilvl="8" w:tplc="EB7CA8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9F3585"/>
    <w:multiLevelType w:val="hybridMultilevel"/>
    <w:tmpl w:val="C59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745A8"/>
    <w:multiLevelType w:val="hybridMultilevel"/>
    <w:tmpl w:val="07465A7E"/>
    <w:lvl w:ilvl="0" w:tplc="1F7AEF70">
      <w:start w:val="1"/>
      <w:numFmt w:val="bullet"/>
      <w:lvlText w:val="•"/>
      <w:lvlJc w:val="left"/>
      <w:pPr>
        <w:tabs>
          <w:tab w:val="num" w:pos="720"/>
        </w:tabs>
        <w:ind w:left="720" w:hanging="360"/>
      </w:pPr>
      <w:rPr>
        <w:rFonts w:ascii="Arial" w:hAnsi="Arial" w:hint="default"/>
      </w:rPr>
    </w:lvl>
    <w:lvl w:ilvl="1" w:tplc="55E46A7E" w:tentative="1">
      <w:start w:val="1"/>
      <w:numFmt w:val="bullet"/>
      <w:lvlText w:val="•"/>
      <w:lvlJc w:val="left"/>
      <w:pPr>
        <w:tabs>
          <w:tab w:val="num" w:pos="1440"/>
        </w:tabs>
        <w:ind w:left="1440" w:hanging="360"/>
      </w:pPr>
      <w:rPr>
        <w:rFonts w:ascii="Arial" w:hAnsi="Arial" w:hint="default"/>
      </w:rPr>
    </w:lvl>
    <w:lvl w:ilvl="2" w:tplc="BE041D10" w:tentative="1">
      <w:start w:val="1"/>
      <w:numFmt w:val="bullet"/>
      <w:lvlText w:val="•"/>
      <w:lvlJc w:val="left"/>
      <w:pPr>
        <w:tabs>
          <w:tab w:val="num" w:pos="2160"/>
        </w:tabs>
        <w:ind w:left="2160" w:hanging="360"/>
      </w:pPr>
      <w:rPr>
        <w:rFonts w:ascii="Arial" w:hAnsi="Arial" w:hint="default"/>
      </w:rPr>
    </w:lvl>
    <w:lvl w:ilvl="3" w:tplc="58B0C0E6" w:tentative="1">
      <w:start w:val="1"/>
      <w:numFmt w:val="bullet"/>
      <w:lvlText w:val="•"/>
      <w:lvlJc w:val="left"/>
      <w:pPr>
        <w:tabs>
          <w:tab w:val="num" w:pos="2880"/>
        </w:tabs>
        <w:ind w:left="2880" w:hanging="360"/>
      </w:pPr>
      <w:rPr>
        <w:rFonts w:ascii="Arial" w:hAnsi="Arial" w:hint="default"/>
      </w:rPr>
    </w:lvl>
    <w:lvl w:ilvl="4" w:tplc="C79E96CC" w:tentative="1">
      <w:start w:val="1"/>
      <w:numFmt w:val="bullet"/>
      <w:lvlText w:val="•"/>
      <w:lvlJc w:val="left"/>
      <w:pPr>
        <w:tabs>
          <w:tab w:val="num" w:pos="3600"/>
        </w:tabs>
        <w:ind w:left="3600" w:hanging="360"/>
      </w:pPr>
      <w:rPr>
        <w:rFonts w:ascii="Arial" w:hAnsi="Arial" w:hint="default"/>
      </w:rPr>
    </w:lvl>
    <w:lvl w:ilvl="5" w:tplc="972E692E" w:tentative="1">
      <w:start w:val="1"/>
      <w:numFmt w:val="bullet"/>
      <w:lvlText w:val="•"/>
      <w:lvlJc w:val="left"/>
      <w:pPr>
        <w:tabs>
          <w:tab w:val="num" w:pos="4320"/>
        </w:tabs>
        <w:ind w:left="4320" w:hanging="360"/>
      </w:pPr>
      <w:rPr>
        <w:rFonts w:ascii="Arial" w:hAnsi="Arial" w:hint="default"/>
      </w:rPr>
    </w:lvl>
    <w:lvl w:ilvl="6" w:tplc="9A1CBEAA" w:tentative="1">
      <w:start w:val="1"/>
      <w:numFmt w:val="bullet"/>
      <w:lvlText w:val="•"/>
      <w:lvlJc w:val="left"/>
      <w:pPr>
        <w:tabs>
          <w:tab w:val="num" w:pos="5040"/>
        </w:tabs>
        <w:ind w:left="5040" w:hanging="360"/>
      </w:pPr>
      <w:rPr>
        <w:rFonts w:ascii="Arial" w:hAnsi="Arial" w:hint="default"/>
      </w:rPr>
    </w:lvl>
    <w:lvl w:ilvl="7" w:tplc="233AB9FE" w:tentative="1">
      <w:start w:val="1"/>
      <w:numFmt w:val="bullet"/>
      <w:lvlText w:val="•"/>
      <w:lvlJc w:val="left"/>
      <w:pPr>
        <w:tabs>
          <w:tab w:val="num" w:pos="5760"/>
        </w:tabs>
        <w:ind w:left="5760" w:hanging="360"/>
      </w:pPr>
      <w:rPr>
        <w:rFonts w:ascii="Arial" w:hAnsi="Arial" w:hint="default"/>
      </w:rPr>
    </w:lvl>
    <w:lvl w:ilvl="8" w:tplc="FA38D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273F5D"/>
    <w:multiLevelType w:val="hybridMultilevel"/>
    <w:tmpl w:val="32A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A1DA9"/>
    <w:multiLevelType w:val="hybridMultilevel"/>
    <w:tmpl w:val="22A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F4"/>
    <w:rsid w:val="000C217F"/>
    <w:rsid w:val="00140560"/>
    <w:rsid w:val="00162AF8"/>
    <w:rsid w:val="00176AEB"/>
    <w:rsid w:val="00177B49"/>
    <w:rsid w:val="001C6B8A"/>
    <w:rsid w:val="001D7FFB"/>
    <w:rsid w:val="00205D28"/>
    <w:rsid w:val="002419AF"/>
    <w:rsid w:val="0033319F"/>
    <w:rsid w:val="003E5609"/>
    <w:rsid w:val="003F4619"/>
    <w:rsid w:val="00492829"/>
    <w:rsid w:val="00496109"/>
    <w:rsid w:val="004B4355"/>
    <w:rsid w:val="00551FCF"/>
    <w:rsid w:val="005C2375"/>
    <w:rsid w:val="00684A39"/>
    <w:rsid w:val="00686692"/>
    <w:rsid w:val="006A1CCF"/>
    <w:rsid w:val="00766794"/>
    <w:rsid w:val="00774748"/>
    <w:rsid w:val="00782415"/>
    <w:rsid w:val="007E2682"/>
    <w:rsid w:val="007E3996"/>
    <w:rsid w:val="007F4163"/>
    <w:rsid w:val="00820051"/>
    <w:rsid w:val="008311AF"/>
    <w:rsid w:val="009408DB"/>
    <w:rsid w:val="009540F4"/>
    <w:rsid w:val="009F4C2B"/>
    <w:rsid w:val="009F5829"/>
    <w:rsid w:val="00AA17CC"/>
    <w:rsid w:val="00B2738F"/>
    <w:rsid w:val="00B460B8"/>
    <w:rsid w:val="00B56A13"/>
    <w:rsid w:val="00B8743A"/>
    <w:rsid w:val="00B95143"/>
    <w:rsid w:val="00BA0F76"/>
    <w:rsid w:val="00BD0189"/>
    <w:rsid w:val="00BF2B38"/>
    <w:rsid w:val="00C00FD7"/>
    <w:rsid w:val="00C03805"/>
    <w:rsid w:val="00C03A39"/>
    <w:rsid w:val="00D23861"/>
    <w:rsid w:val="00D419AF"/>
    <w:rsid w:val="00D80EEB"/>
    <w:rsid w:val="00DB630F"/>
    <w:rsid w:val="00E71574"/>
    <w:rsid w:val="00E91F11"/>
    <w:rsid w:val="00EC623F"/>
    <w:rsid w:val="00F45F02"/>
    <w:rsid w:val="00F74525"/>
    <w:rsid w:val="00FC7B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064A"/>
  <w15:docId w15:val="{1F17F4D7-0478-474F-9A52-2740EC8D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5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F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F02"/>
    <w:rPr>
      <w:rFonts w:ascii="Times New Roman" w:hAnsi="Times New Roman" w:cs="Times New Roman"/>
      <w:sz w:val="18"/>
      <w:szCs w:val="18"/>
      <w:lang w:val="en-CA"/>
    </w:rPr>
  </w:style>
  <w:style w:type="character" w:styleId="Hyperlink">
    <w:name w:val="Hyperlink"/>
    <w:basedOn w:val="DefaultParagraphFont"/>
    <w:uiPriority w:val="99"/>
    <w:unhideWhenUsed/>
    <w:rsid w:val="00F45F02"/>
    <w:rPr>
      <w:color w:val="0563C1" w:themeColor="hyperlink"/>
      <w:u w:val="single"/>
    </w:rPr>
  </w:style>
  <w:style w:type="character" w:customStyle="1" w:styleId="UnresolvedMention1">
    <w:name w:val="Unresolved Mention1"/>
    <w:basedOn w:val="DefaultParagraphFont"/>
    <w:uiPriority w:val="99"/>
    <w:rsid w:val="00F45F02"/>
    <w:rPr>
      <w:color w:val="605E5C"/>
      <w:shd w:val="clear" w:color="auto" w:fill="E1DFDD"/>
    </w:rPr>
  </w:style>
  <w:style w:type="paragraph" w:styleId="ListParagraph">
    <w:name w:val="List Paragraph"/>
    <w:basedOn w:val="Normal"/>
    <w:uiPriority w:val="34"/>
    <w:qFormat/>
    <w:rsid w:val="00F45F02"/>
    <w:pPr>
      <w:ind w:left="720"/>
      <w:contextualSpacing/>
    </w:pPr>
  </w:style>
  <w:style w:type="character" w:styleId="FollowedHyperlink">
    <w:name w:val="FollowedHyperlink"/>
    <w:basedOn w:val="DefaultParagraphFont"/>
    <w:uiPriority w:val="99"/>
    <w:semiHidden/>
    <w:unhideWhenUsed/>
    <w:rsid w:val="00F45F02"/>
    <w:rPr>
      <w:color w:val="954F72" w:themeColor="followedHyperlink"/>
      <w:u w:val="single"/>
    </w:rPr>
  </w:style>
  <w:style w:type="character" w:styleId="CommentReference">
    <w:name w:val="annotation reference"/>
    <w:basedOn w:val="DefaultParagraphFont"/>
    <w:uiPriority w:val="99"/>
    <w:semiHidden/>
    <w:unhideWhenUsed/>
    <w:rsid w:val="005C2375"/>
    <w:rPr>
      <w:sz w:val="16"/>
      <w:szCs w:val="16"/>
    </w:rPr>
  </w:style>
  <w:style w:type="paragraph" w:styleId="CommentText">
    <w:name w:val="annotation text"/>
    <w:basedOn w:val="Normal"/>
    <w:link w:val="CommentTextChar"/>
    <w:uiPriority w:val="99"/>
    <w:semiHidden/>
    <w:unhideWhenUsed/>
    <w:rsid w:val="005C2375"/>
    <w:rPr>
      <w:sz w:val="20"/>
      <w:szCs w:val="20"/>
    </w:rPr>
  </w:style>
  <w:style w:type="character" w:customStyle="1" w:styleId="CommentTextChar">
    <w:name w:val="Comment Text Char"/>
    <w:basedOn w:val="DefaultParagraphFont"/>
    <w:link w:val="CommentText"/>
    <w:uiPriority w:val="99"/>
    <w:semiHidden/>
    <w:rsid w:val="005C2375"/>
    <w:rPr>
      <w:sz w:val="20"/>
      <w:szCs w:val="20"/>
      <w:lang w:val="en-CA"/>
    </w:rPr>
  </w:style>
  <w:style w:type="paragraph" w:styleId="CommentSubject">
    <w:name w:val="annotation subject"/>
    <w:basedOn w:val="CommentText"/>
    <w:next w:val="CommentText"/>
    <w:link w:val="CommentSubjectChar"/>
    <w:uiPriority w:val="99"/>
    <w:semiHidden/>
    <w:unhideWhenUsed/>
    <w:rsid w:val="005C2375"/>
    <w:rPr>
      <w:b/>
      <w:bCs/>
    </w:rPr>
  </w:style>
  <w:style w:type="character" w:customStyle="1" w:styleId="CommentSubjectChar">
    <w:name w:val="Comment Subject Char"/>
    <w:basedOn w:val="CommentTextChar"/>
    <w:link w:val="CommentSubject"/>
    <w:uiPriority w:val="99"/>
    <w:semiHidden/>
    <w:rsid w:val="005C2375"/>
    <w:rPr>
      <w:b/>
      <w:bCs/>
      <w:sz w:val="20"/>
      <w:szCs w:val="20"/>
      <w:lang w:val="en-CA"/>
    </w:rPr>
  </w:style>
  <w:style w:type="paragraph" w:styleId="Header">
    <w:name w:val="header"/>
    <w:basedOn w:val="Normal"/>
    <w:link w:val="HeaderChar"/>
    <w:uiPriority w:val="99"/>
    <w:unhideWhenUsed/>
    <w:rsid w:val="00C00FD7"/>
    <w:pPr>
      <w:tabs>
        <w:tab w:val="center" w:pos="4680"/>
        <w:tab w:val="right" w:pos="9360"/>
      </w:tabs>
    </w:pPr>
  </w:style>
  <w:style w:type="character" w:customStyle="1" w:styleId="HeaderChar">
    <w:name w:val="Header Char"/>
    <w:basedOn w:val="DefaultParagraphFont"/>
    <w:link w:val="Header"/>
    <w:uiPriority w:val="99"/>
    <w:rsid w:val="00C00FD7"/>
    <w:rPr>
      <w:lang w:val="en-CA"/>
    </w:rPr>
  </w:style>
  <w:style w:type="paragraph" w:styleId="Footer">
    <w:name w:val="footer"/>
    <w:basedOn w:val="Normal"/>
    <w:link w:val="FooterChar"/>
    <w:uiPriority w:val="99"/>
    <w:unhideWhenUsed/>
    <w:rsid w:val="00C00FD7"/>
    <w:pPr>
      <w:tabs>
        <w:tab w:val="center" w:pos="4680"/>
        <w:tab w:val="right" w:pos="9360"/>
      </w:tabs>
    </w:pPr>
  </w:style>
  <w:style w:type="character" w:customStyle="1" w:styleId="FooterChar">
    <w:name w:val="Footer Char"/>
    <w:basedOn w:val="DefaultParagraphFont"/>
    <w:link w:val="Footer"/>
    <w:uiPriority w:val="99"/>
    <w:rsid w:val="00C00FD7"/>
    <w:rPr>
      <w:lang w:val="en-CA"/>
    </w:rPr>
  </w:style>
  <w:style w:type="character" w:styleId="UnresolvedMention">
    <w:name w:val="Unresolved Mention"/>
    <w:basedOn w:val="DefaultParagraphFont"/>
    <w:uiPriority w:val="99"/>
    <w:semiHidden/>
    <w:unhideWhenUsed/>
    <w:rsid w:val="003F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7625">
      <w:bodyDiv w:val="1"/>
      <w:marLeft w:val="0"/>
      <w:marRight w:val="0"/>
      <w:marTop w:val="0"/>
      <w:marBottom w:val="0"/>
      <w:divBdr>
        <w:top w:val="none" w:sz="0" w:space="0" w:color="auto"/>
        <w:left w:val="none" w:sz="0" w:space="0" w:color="auto"/>
        <w:bottom w:val="none" w:sz="0" w:space="0" w:color="auto"/>
        <w:right w:val="none" w:sz="0" w:space="0" w:color="auto"/>
      </w:divBdr>
      <w:divsChild>
        <w:div w:id="1359547049">
          <w:marLeft w:val="720"/>
          <w:marRight w:val="0"/>
          <w:marTop w:val="0"/>
          <w:marBottom w:val="0"/>
          <w:divBdr>
            <w:top w:val="none" w:sz="0" w:space="0" w:color="auto"/>
            <w:left w:val="none" w:sz="0" w:space="0" w:color="auto"/>
            <w:bottom w:val="none" w:sz="0" w:space="0" w:color="auto"/>
            <w:right w:val="none" w:sz="0" w:space="0" w:color="auto"/>
          </w:divBdr>
        </w:div>
      </w:divsChild>
    </w:div>
    <w:div w:id="283391295">
      <w:bodyDiv w:val="1"/>
      <w:marLeft w:val="0"/>
      <w:marRight w:val="0"/>
      <w:marTop w:val="0"/>
      <w:marBottom w:val="0"/>
      <w:divBdr>
        <w:top w:val="none" w:sz="0" w:space="0" w:color="auto"/>
        <w:left w:val="none" w:sz="0" w:space="0" w:color="auto"/>
        <w:bottom w:val="none" w:sz="0" w:space="0" w:color="auto"/>
        <w:right w:val="none" w:sz="0" w:space="0" w:color="auto"/>
      </w:divBdr>
      <w:divsChild>
        <w:div w:id="54548291">
          <w:marLeft w:val="0"/>
          <w:marRight w:val="0"/>
          <w:marTop w:val="0"/>
          <w:marBottom w:val="0"/>
          <w:divBdr>
            <w:top w:val="none" w:sz="0" w:space="0" w:color="auto"/>
            <w:left w:val="none" w:sz="0" w:space="0" w:color="auto"/>
            <w:bottom w:val="none" w:sz="0" w:space="0" w:color="auto"/>
            <w:right w:val="none" w:sz="0" w:space="0" w:color="auto"/>
          </w:divBdr>
        </w:div>
        <w:div w:id="892428371">
          <w:marLeft w:val="0"/>
          <w:marRight w:val="0"/>
          <w:marTop w:val="0"/>
          <w:marBottom w:val="0"/>
          <w:divBdr>
            <w:top w:val="none" w:sz="0" w:space="0" w:color="auto"/>
            <w:left w:val="none" w:sz="0" w:space="0" w:color="auto"/>
            <w:bottom w:val="none" w:sz="0" w:space="0" w:color="auto"/>
            <w:right w:val="none" w:sz="0" w:space="0" w:color="auto"/>
          </w:divBdr>
        </w:div>
        <w:div w:id="2123764120">
          <w:marLeft w:val="0"/>
          <w:marRight w:val="0"/>
          <w:marTop w:val="0"/>
          <w:marBottom w:val="0"/>
          <w:divBdr>
            <w:top w:val="none" w:sz="0" w:space="0" w:color="auto"/>
            <w:left w:val="none" w:sz="0" w:space="0" w:color="auto"/>
            <w:bottom w:val="none" w:sz="0" w:space="0" w:color="auto"/>
            <w:right w:val="none" w:sz="0" w:space="0" w:color="auto"/>
          </w:divBdr>
        </w:div>
      </w:divsChild>
    </w:div>
    <w:div w:id="343364758">
      <w:bodyDiv w:val="1"/>
      <w:marLeft w:val="0"/>
      <w:marRight w:val="0"/>
      <w:marTop w:val="0"/>
      <w:marBottom w:val="0"/>
      <w:divBdr>
        <w:top w:val="none" w:sz="0" w:space="0" w:color="auto"/>
        <w:left w:val="none" w:sz="0" w:space="0" w:color="auto"/>
        <w:bottom w:val="none" w:sz="0" w:space="0" w:color="auto"/>
        <w:right w:val="none" w:sz="0" w:space="0" w:color="auto"/>
      </w:divBdr>
    </w:div>
    <w:div w:id="1072046453">
      <w:bodyDiv w:val="1"/>
      <w:marLeft w:val="0"/>
      <w:marRight w:val="0"/>
      <w:marTop w:val="0"/>
      <w:marBottom w:val="0"/>
      <w:divBdr>
        <w:top w:val="none" w:sz="0" w:space="0" w:color="auto"/>
        <w:left w:val="none" w:sz="0" w:space="0" w:color="auto"/>
        <w:bottom w:val="none" w:sz="0" w:space="0" w:color="auto"/>
        <w:right w:val="none" w:sz="0" w:space="0" w:color="auto"/>
      </w:divBdr>
    </w:div>
    <w:div w:id="1225028517">
      <w:bodyDiv w:val="1"/>
      <w:marLeft w:val="0"/>
      <w:marRight w:val="0"/>
      <w:marTop w:val="0"/>
      <w:marBottom w:val="0"/>
      <w:divBdr>
        <w:top w:val="none" w:sz="0" w:space="0" w:color="auto"/>
        <w:left w:val="none" w:sz="0" w:space="0" w:color="auto"/>
        <w:bottom w:val="none" w:sz="0" w:space="0" w:color="auto"/>
        <w:right w:val="none" w:sz="0" w:space="0" w:color="auto"/>
      </w:divBdr>
    </w:div>
    <w:div w:id="1357468008">
      <w:bodyDiv w:val="1"/>
      <w:marLeft w:val="0"/>
      <w:marRight w:val="0"/>
      <w:marTop w:val="0"/>
      <w:marBottom w:val="0"/>
      <w:divBdr>
        <w:top w:val="none" w:sz="0" w:space="0" w:color="auto"/>
        <w:left w:val="none" w:sz="0" w:space="0" w:color="auto"/>
        <w:bottom w:val="none" w:sz="0" w:space="0" w:color="auto"/>
        <w:right w:val="none" w:sz="0" w:space="0" w:color="auto"/>
      </w:divBdr>
    </w:div>
    <w:div w:id="1397968028">
      <w:bodyDiv w:val="1"/>
      <w:marLeft w:val="0"/>
      <w:marRight w:val="0"/>
      <w:marTop w:val="0"/>
      <w:marBottom w:val="0"/>
      <w:divBdr>
        <w:top w:val="none" w:sz="0" w:space="0" w:color="auto"/>
        <w:left w:val="none" w:sz="0" w:space="0" w:color="auto"/>
        <w:bottom w:val="none" w:sz="0" w:space="0" w:color="auto"/>
        <w:right w:val="none" w:sz="0" w:space="0" w:color="auto"/>
      </w:divBdr>
      <w:divsChild>
        <w:div w:id="859395630">
          <w:marLeft w:val="547"/>
          <w:marRight w:val="0"/>
          <w:marTop w:val="0"/>
          <w:marBottom w:val="0"/>
          <w:divBdr>
            <w:top w:val="none" w:sz="0" w:space="0" w:color="auto"/>
            <w:left w:val="none" w:sz="0" w:space="0" w:color="auto"/>
            <w:bottom w:val="none" w:sz="0" w:space="0" w:color="auto"/>
            <w:right w:val="none" w:sz="0" w:space="0" w:color="auto"/>
          </w:divBdr>
        </w:div>
      </w:divsChild>
    </w:div>
    <w:div w:id="1437746240">
      <w:bodyDiv w:val="1"/>
      <w:marLeft w:val="0"/>
      <w:marRight w:val="0"/>
      <w:marTop w:val="0"/>
      <w:marBottom w:val="0"/>
      <w:divBdr>
        <w:top w:val="none" w:sz="0" w:space="0" w:color="auto"/>
        <w:left w:val="none" w:sz="0" w:space="0" w:color="auto"/>
        <w:bottom w:val="none" w:sz="0" w:space="0" w:color="auto"/>
        <w:right w:val="none" w:sz="0" w:space="0" w:color="auto"/>
      </w:divBdr>
    </w:div>
    <w:div w:id="1571233373">
      <w:bodyDiv w:val="1"/>
      <w:marLeft w:val="0"/>
      <w:marRight w:val="0"/>
      <w:marTop w:val="0"/>
      <w:marBottom w:val="0"/>
      <w:divBdr>
        <w:top w:val="none" w:sz="0" w:space="0" w:color="auto"/>
        <w:left w:val="none" w:sz="0" w:space="0" w:color="auto"/>
        <w:bottom w:val="none" w:sz="0" w:space="0" w:color="auto"/>
        <w:right w:val="none" w:sz="0" w:space="0" w:color="auto"/>
      </w:divBdr>
    </w:div>
    <w:div w:id="1621494716">
      <w:bodyDiv w:val="1"/>
      <w:marLeft w:val="0"/>
      <w:marRight w:val="0"/>
      <w:marTop w:val="0"/>
      <w:marBottom w:val="0"/>
      <w:divBdr>
        <w:top w:val="none" w:sz="0" w:space="0" w:color="auto"/>
        <w:left w:val="none" w:sz="0" w:space="0" w:color="auto"/>
        <w:bottom w:val="none" w:sz="0" w:space="0" w:color="auto"/>
        <w:right w:val="none" w:sz="0" w:space="0" w:color="auto"/>
      </w:divBdr>
    </w:div>
    <w:div w:id="1627421417">
      <w:bodyDiv w:val="1"/>
      <w:marLeft w:val="0"/>
      <w:marRight w:val="0"/>
      <w:marTop w:val="0"/>
      <w:marBottom w:val="0"/>
      <w:divBdr>
        <w:top w:val="none" w:sz="0" w:space="0" w:color="auto"/>
        <w:left w:val="none" w:sz="0" w:space="0" w:color="auto"/>
        <w:bottom w:val="none" w:sz="0" w:space="0" w:color="auto"/>
        <w:right w:val="none" w:sz="0" w:space="0" w:color="auto"/>
      </w:divBdr>
    </w:div>
    <w:div w:id="1673532373">
      <w:bodyDiv w:val="1"/>
      <w:marLeft w:val="0"/>
      <w:marRight w:val="0"/>
      <w:marTop w:val="0"/>
      <w:marBottom w:val="0"/>
      <w:divBdr>
        <w:top w:val="none" w:sz="0" w:space="0" w:color="auto"/>
        <w:left w:val="none" w:sz="0" w:space="0" w:color="auto"/>
        <w:bottom w:val="none" w:sz="0" w:space="0" w:color="auto"/>
        <w:right w:val="none" w:sz="0" w:space="0" w:color="auto"/>
      </w:divBdr>
    </w:div>
    <w:div w:id="2079278480">
      <w:bodyDiv w:val="1"/>
      <w:marLeft w:val="0"/>
      <w:marRight w:val="0"/>
      <w:marTop w:val="0"/>
      <w:marBottom w:val="0"/>
      <w:divBdr>
        <w:top w:val="none" w:sz="0" w:space="0" w:color="auto"/>
        <w:left w:val="none" w:sz="0" w:space="0" w:color="auto"/>
        <w:bottom w:val="none" w:sz="0" w:space="0" w:color="auto"/>
        <w:right w:val="none" w:sz="0" w:space="0" w:color="auto"/>
      </w:divBdr>
    </w:div>
    <w:div w:id="2098860568">
      <w:bodyDiv w:val="1"/>
      <w:marLeft w:val="0"/>
      <w:marRight w:val="0"/>
      <w:marTop w:val="0"/>
      <w:marBottom w:val="0"/>
      <w:divBdr>
        <w:top w:val="none" w:sz="0" w:space="0" w:color="auto"/>
        <w:left w:val="none" w:sz="0" w:space="0" w:color="auto"/>
        <w:bottom w:val="none" w:sz="0" w:space="0" w:color="auto"/>
        <w:right w:val="none" w:sz="0" w:space="0" w:color="auto"/>
      </w:divBdr>
    </w:div>
    <w:div w:id="21051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anrx.com/funded-projects-chart-2020?lang=fr" TargetMode="External"/><Relationship Id="rId13" Type="http://schemas.openxmlformats.org/officeDocument/2006/relationships/hyperlink" Target="mailto:nboyle@biocanrx.com" TargetMode="External"/><Relationship Id="rId18" Type="http://schemas.openxmlformats.org/officeDocument/2006/relationships/hyperlink" Target="https://ca.linkedin.com/company/biocanr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biocanrx.com/?lang=fr" TargetMode="External"/><Relationship Id="rId17" Type="http://schemas.openxmlformats.org/officeDocument/2006/relationships/hyperlink" Target="https://www.instagram.com/biocanr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acebook.com/biocanrx/"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canrx.com/biocanrx-invests-10m-promising-new-cancer-immunotherapy-research-biomanufacturing-benefit-canadian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BioCanR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channel/UCatpFvoVnejmcWGryt_9sEw/featured" TargetMode="External"/><Relationship Id="rId4" Type="http://schemas.openxmlformats.org/officeDocument/2006/relationships/webSettings" Target="webSettings.xml"/><Relationship Id="rId9" Type="http://schemas.openxmlformats.org/officeDocument/2006/relationships/hyperlink" Target="https://biocanrx.com/funded-projects-chart-2020?lang=fr" TargetMode="External"/><Relationship Id="rId14" Type="http://schemas.openxmlformats.org/officeDocument/2006/relationships/hyperlink" Target="mailto:ahenry@biocanrx.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6915</Characters>
  <Application>Microsoft Office Word</Application>
  <DocSecurity>0</DocSecurity>
  <Lines>130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Boyle</dc:creator>
  <cp:lastModifiedBy>Nancy Boyle</cp:lastModifiedBy>
  <cp:revision>2</cp:revision>
  <dcterms:created xsi:type="dcterms:W3CDTF">2020-09-18T20:39:00Z</dcterms:created>
  <dcterms:modified xsi:type="dcterms:W3CDTF">2020-09-18T20:39:00Z</dcterms:modified>
</cp:coreProperties>
</file>